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697"/>
      </w:tblGrid>
      <w:tr w:rsidR="009E66A4" w14:paraId="13DDA0A8" w14:textId="77777777">
        <w:trPr>
          <w:trHeight w:hRule="exact" w:val="1440"/>
        </w:trPr>
        <w:tc>
          <w:tcPr>
            <w:tcW w:w="1814" w:type="dxa"/>
            <w:shd w:val="clear" w:color="auto" w:fill="auto"/>
            <w:vAlign w:val="center"/>
          </w:tcPr>
          <w:p w14:paraId="13DDA0A6" w14:textId="77777777" w:rsidR="009E66A4" w:rsidRDefault="00AA625F">
            <w:pPr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13DDA18A" wp14:editId="13DDA18B">
                  <wp:extent cx="1076960" cy="751840"/>
                  <wp:effectExtent l="0" t="0" r="8890" b="0"/>
                  <wp:docPr id="1" name="Picture 1" descr="logo_ce-en-rvb-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e-en-rvb-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13DDA0A7" w14:textId="77777777" w:rsidR="009E66A4" w:rsidRDefault="009E66A4">
            <w:pPr>
              <w:pStyle w:val="ZCom"/>
              <w:widowControl/>
              <w:ind w:right="0"/>
            </w:pPr>
            <w:r>
              <w:rPr>
                <w:b/>
                <w:sz w:val="22"/>
                <w:szCs w:val="22"/>
              </w:rPr>
              <w:t>EUROPEAN COMMISSION</w:t>
            </w:r>
          </w:p>
        </w:tc>
      </w:tr>
    </w:tbl>
    <w:p w14:paraId="13DDA0A9" w14:textId="77777777" w:rsidR="009E66A4" w:rsidRDefault="009E66A4"/>
    <w:p w14:paraId="13DDA0AA" w14:textId="1C291BC0" w:rsidR="00D51FDD" w:rsidRPr="00AF237C" w:rsidRDefault="002F1BF1" w:rsidP="00FE5474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C5A">
        <w:rPr>
          <w:sz w:val="24"/>
        </w:rPr>
        <w:t>29</w:t>
      </w:r>
      <w:r w:rsidR="00382CA4">
        <w:rPr>
          <w:sz w:val="24"/>
        </w:rPr>
        <w:t xml:space="preserve"> January 2016</w:t>
      </w:r>
    </w:p>
    <w:p w14:paraId="13DDA0AB" w14:textId="77777777" w:rsidR="00D51FDD" w:rsidRDefault="00D51FDD"/>
    <w:p w14:paraId="4B4EAE17" w14:textId="77777777" w:rsidR="00AC74EB" w:rsidRDefault="00AC74EB"/>
    <w:p w14:paraId="13DDA0AC" w14:textId="36115569" w:rsidR="009E66A4" w:rsidRDefault="00992F70" w:rsidP="00AC74EB">
      <w:pPr>
        <w:pStyle w:val="Title"/>
        <w:jc w:val="center"/>
      </w:pPr>
      <w:r>
        <w:t>w</w:t>
      </w:r>
      <w:r w:rsidR="009E66A4">
        <w:t xml:space="preserve">ork programme for the exchange of information under Article 13(3)(b) of the IED for </w:t>
      </w:r>
      <w:r w:rsidR="00F21962">
        <w:t>2016</w:t>
      </w:r>
      <w:r w:rsidR="00AD192A">
        <w:t xml:space="preserve"> </w:t>
      </w:r>
      <w:r w:rsidR="00382CA4">
        <w:br/>
      </w:r>
      <w:r w:rsidR="00AD192A">
        <w:t xml:space="preserve">(and </w:t>
      </w:r>
      <w:r w:rsidR="00256D06">
        <w:t xml:space="preserve">the </w:t>
      </w:r>
      <w:r w:rsidR="00AD192A">
        <w:t xml:space="preserve">outlook </w:t>
      </w:r>
      <w:r w:rsidR="00995D11">
        <w:t>FOR THE FOLLOWING YEARS</w:t>
      </w:r>
      <w:r w:rsidR="00AD192A">
        <w:t>)</w:t>
      </w:r>
    </w:p>
    <w:p w14:paraId="13DDA0AD" w14:textId="77777777" w:rsidR="009E66A4" w:rsidRDefault="009E66A4">
      <w:pPr>
        <w:jc w:val="center"/>
        <w:rPr>
          <w:b/>
          <w:sz w:val="28"/>
          <w:szCs w:val="28"/>
        </w:rPr>
      </w:pPr>
    </w:p>
    <w:p w14:paraId="76984F7F" w14:textId="77777777" w:rsidR="00AC74EB" w:rsidRDefault="00AC74EB">
      <w:pPr>
        <w:jc w:val="center"/>
        <w:rPr>
          <w:b/>
          <w:sz w:val="28"/>
          <w:szCs w:val="28"/>
        </w:rPr>
      </w:pPr>
    </w:p>
    <w:p w14:paraId="13DDA0AF" w14:textId="6667E25E" w:rsidR="009E66A4" w:rsidRPr="00334753" w:rsidRDefault="009E66A4" w:rsidP="009C2E2F">
      <w:pPr>
        <w:pStyle w:val="Heading1"/>
        <w:spacing w:before="240" w:after="240"/>
      </w:pPr>
      <w:r w:rsidRPr="00334753">
        <w:t>Purpose of this document</w:t>
      </w:r>
    </w:p>
    <w:p w14:paraId="13DDA0B0" w14:textId="1EEBA563" w:rsidR="009E66A4" w:rsidRPr="00334753" w:rsidRDefault="009E66A4" w:rsidP="00334753">
      <w:pPr>
        <w:spacing w:after="240"/>
        <w:rPr>
          <w:sz w:val="24"/>
        </w:rPr>
      </w:pPr>
      <w:r w:rsidRPr="00334753">
        <w:rPr>
          <w:sz w:val="24"/>
        </w:rPr>
        <w:t>This document constitutes the work programme for the exchange of information as referred to in Article 13(3), point (b) of the Industrial Emissions Directive (IED)</w:t>
      </w:r>
      <w:r w:rsidRPr="00334753">
        <w:rPr>
          <w:rStyle w:val="FootnoteReference"/>
          <w:sz w:val="24"/>
        </w:rPr>
        <w:footnoteReference w:id="2"/>
      </w:r>
      <w:r w:rsidRPr="00334753">
        <w:rPr>
          <w:sz w:val="24"/>
        </w:rPr>
        <w:t xml:space="preserve"> </w:t>
      </w:r>
      <w:r w:rsidR="000402B1" w:rsidRPr="00334753">
        <w:rPr>
          <w:sz w:val="24"/>
        </w:rPr>
        <w:t>to be carried out in</w:t>
      </w:r>
      <w:r w:rsidR="00F60A99">
        <w:rPr>
          <w:sz w:val="24"/>
        </w:rPr>
        <w:t> </w:t>
      </w:r>
      <w:r w:rsidR="00B33670" w:rsidRPr="00334753">
        <w:rPr>
          <w:sz w:val="24"/>
        </w:rPr>
        <w:t>201</w:t>
      </w:r>
      <w:r w:rsidR="008A4A6E">
        <w:rPr>
          <w:sz w:val="24"/>
        </w:rPr>
        <w:t>6</w:t>
      </w:r>
      <w:r w:rsidRPr="00334753">
        <w:rPr>
          <w:sz w:val="24"/>
        </w:rPr>
        <w:t>.</w:t>
      </w:r>
    </w:p>
    <w:p w14:paraId="13DDA0B1" w14:textId="063FC54B" w:rsidR="009E66A4" w:rsidRPr="00334753" w:rsidRDefault="00432068" w:rsidP="00334753">
      <w:pPr>
        <w:spacing w:after="240"/>
        <w:rPr>
          <w:sz w:val="24"/>
        </w:rPr>
      </w:pPr>
      <w:r>
        <w:rPr>
          <w:sz w:val="24"/>
        </w:rPr>
        <w:t xml:space="preserve">It </w:t>
      </w:r>
      <w:r w:rsidR="00382CA4">
        <w:rPr>
          <w:sz w:val="24"/>
        </w:rPr>
        <w:t>was last updated following</w:t>
      </w:r>
      <w:r>
        <w:rPr>
          <w:sz w:val="24"/>
        </w:rPr>
        <w:t xml:space="preserve"> the meeting of the IED Article 13 Forum of </w:t>
      </w:r>
      <w:r w:rsidRPr="00D372B1">
        <w:rPr>
          <w:sz w:val="24"/>
        </w:rPr>
        <w:t>19 October 2015</w:t>
      </w:r>
      <w:r w:rsidR="00D51FDD" w:rsidRPr="00F8757C">
        <w:rPr>
          <w:sz w:val="24"/>
        </w:rPr>
        <w:t>.</w:t>
      </w:r>
    </w:p>
    <w:p w14:paraId="13DDA0B2" w14:textId="77777777" w:rsidR="009E66A4" w:rsidRDefault="009E66A4" w:rsidP="00334753">
      <w:pPr>
        <w:spacing w:after="240"/>
        <w:rPr>
          <w:sz w:val="24"/>
        </w:rPr>
      </w:pPr>
      <w:r w:rsidRPr="00334753">
        <w:rPr>
          <w:sz w:val="24"/>
        </w:rPr>
        <w:t xml:space="preserve">The Commission will keep this work programme under review and </w:t>
      </w:r>
      <w:r w:rsidR="00F440D8" w:rsidRPr="00334753">
        <w:rPr>
          <w:sz w:val="24"/>
        </w:rPr>
        <w:t>may</w:t>
      </w:r>
      <w:r w:rsidRPr="00334753">
        <w:rPr>
          <w:sz w:val="24"/>
        </w:rPr>
        <w:t xml:space="preserve"> propose adjustments should there be a compelling need.</w:t>
      </w:r>
    </w:p>
    <w:p w14:paraId="0BA2C655" w14:textId="77777777" w:rsidR="00995D11" w:rsidRDefault="00995D11" w:rsidP="00334753">
      <w:pPr>
        <w:spacing w:after="240"/>
        <w:rPr>
          <w:sz w:val="24"/>
        </w:rPr>
      </w:pPr>
    </w:p>
    <w:p w14:paraId="13DDA0B4" w14:textId="6061BBFC" w:rsidR="009E66A4" w:rsidRPr="00334753" w:rsidRDefault="00536336" w:rsidP="009C2E2F">
      <w:pPr>
        <w:pStyle w:val="Heading1"/>
        <w:spacing w:before="240" w:after="240"/>
      </w:pPr>
      <w:r>
        <w:t xml:space="preserve">ENVIRONMENTAL </w:t>
      </w:r>
      <w:r w:rsidR="005D7E09">
        <w:t xml:space="preserve">Effectiveness </w:t>
      </w:r>
      <w:r w:rsidR="009E66A4" w:rsidRPr="00334753">
        <w:t>of the information exchange</w:t>
      </w:r>
    </w:p>
    <w:p w14:paraId="0BB7F0A8" w14:textId="50496A3E" w:rsidR="005D7E09" w:rsidRPr="009C2E2F" w:rsidRDefault="005D7E09" w:rsidP="005D7E09">
      <w:pPr>
        <w:spacing w:after="240"/>
        <w:rPr>
          <w:b/>
          <w:sz w:val="24"/>
        </w:rPr>
      </w:pPr>
      <w:r w:rsidRPr="009C2E2F">
        <w:rPr>
          <w:sz w:val="24"/>
        </w:rPr>
        <w:t>Due to the importan</w:t>
      </w:r>
      <w:r w:rsidR="00E26B31" w:rsidRPr="009C2E2F">
        <w:rPr>
          <w:sz w:val="24"/>
        </w:rPr>
        <w:t>t role</w:t>
      </w:r>
      <w:r w:rsidRPr="009C2E2F">
        <w:rPr>
          <w:sz w:val="24"/>
        </w:rPr>
        <w:t xml:space="preserve"> of </w:t>
      </w:r>
      <w:r w:rsidR="00E26B31" w:rsidRPr="009C2E2F">
        <w:rPr>
          <w:sz w:val="24"/>
        </w:rPr>
        <w:t>the</w:t>
      </w:r>
      <w:r w:rsidRPr="009C2E2F">
        <w:rPr>
          <w:sz w:val="24"/>
        </w:rPr>
        <w:t xml:space="preserve"> BAT conclusions under the IED, </w:t>
      </w:r>
      <w:r w:rsidR="00E26B31" w:rsidRPr="009C2E2F">
        <w:rPr>
          <w:sz w:val="24"/>
        </w:rPr>
        <w:t>the forum has discussed over the past two years</w:t>
      </w:r>
      <w:r w:rsidR="00E26B31" w:rsidRPr="009C2E2F" w:rsidDel="00E26B31">
        <w:rPr>
          <w:sz w:val="24"/>
        </w:rPr>
        <w:t xml:space="preserve"> </w:t>
      </w:r>
      <w:r w:rsidRPr="009C2E2F">
        <w:rPr>
          <w:sz w:val="24"/>
        </w:rPr>
        <w:t>how to make the BREF review process more</w:t>
      </w:r>
      <w:r w:rsidR="00E26B31" w:rsidRPr="009C2E2F">
        <w:rPr>
          <w:sz w:val="24"/>
        </w:rPr>
        <w:t xml:space="preserve"> environmentally</w:t>
      </w:r>
      <w:r w:rsidRPr="009C2E2F">
        <w:rPr>
          <w:sz w:val="24"/>
        </w:rPr>
        <w:t xml:space="preserve"> effective </w:t>
      </w:r>
      <w:r w:rsidR="00E26B31" w:rsidRPr="009C2E2F">
        <w:rPr>
          <w:sz w:val="24"/>
        </w:rPr>
        <w:t>by</w:t>
      </w:r>
      <w:r w:rsidRPr="009C2E2F">
        <w:rPr>
          <w:sz w:val="24"/>
        </w:rPr>
        <w:t xml:space="preserve"> 'frontloading' </w:t>
      </w:r>
      <w:r w:rsidR="00F8757C">
        <w:rPr>
          <w:sz w:val="24"/>
        </w:rPr>
        <w:t xml:space="preserve">the information exchange </w:t>
      </w:r>
      <w:r w:rsidRPr="009C2E2F">
        <w:rPr>
          <w:sz w:val="24"/>
        </w:rPr>
        <w:t xml:space="preserve">and </w:t>
      </w:r>
      <w:r w:rsidR="00E26B31" w:rsidRPr="009C2E2F">
        <w:rPr>
          <w:sz w:val="24"/>
        </w:rPr>
        <w:t xml:space="preserve">taking a </w:t>
      </w:r>
      <w:r w:rsidRPr="009C2E2F">
        <w:rPr>
          <w:sz w:val="24"/>
        </w:rPr>
        <w:t>'focus</w:t>
      </w:r>
      <w:r w:rsidR="00E26B31" w:rsidRPr="009C2E2F">
        <w:rPr>
          <w:sz w:val="24"/>
        </w:rPr>
        <w:t>ed approach</w:t>
      </w:r>
      <w:r w:rsidRPr="009C2E2F">
        <w:rPr>
          <w:sz w:val="24"/>
        </w:rPr>
        <w:t>'</w:t>
      </w:r>
      <w:r w:rsidR="00F8757C">
        <w:rPr>
          <w:sz w:val="24"/>
        </w:rPr>
        <w:t xml:space="preserve"> in the determination of BAT</w:t>
      </w:r>
      <w:r w:rsidRPr="009C2E2F">
        <w:rPr>
          <w:sz w:val="24"/>
        </w:rPr>
        <w:t>. Several of these measures are being put in practice</w:t>
      </w:r>
      <w:r w:rsidR="00536336" w:rsidRPr="009C2E2F">
        <w:rPr>
          <w:sz w:val="24"/>
        </w:rPr>
        <w:t xml:space="preserve">, and the Commission put forward a discussion paper for the IED Article 13 </w:t>
      </w:r>
      <w:r w:rsidR="00A11120" w:rsidRPr="009C2E2F">
        <w:rPr>
          <w:sz w:val="24"/>
        </w:rPr>
        <w:t>f</w:t>
      </w:r>
      <w:r w:rsidR="00536336" w:rsidRPr="009C2E2F">
        <w:rPr>
          <w:sz w:val="24"/>
        </w:rPr>
        <w:t xml:space="preserve">orum meeting of 19 October 2015 on how </w:t>
      </w:r>
      <w:r w:rsidR="00507330" w:rsidRPr="009C2E2F">
        <w:rPr>
          <w:sz w:val="24"/>
        </w:rPr>
        <w:t xml:space="preserve">to </w:t>
      </w:r>
      <w:r w:rsidR="006469BD" w:rsidRPr="009C2E2F">
        <w:rPr>
          <w:sz w:val="24"/>
        </w:rPr>
        <w:t xml:space="preserve">materialise </w:t>
      </w:r>
      <w:r w:rsidR="00536336" w:rsidRPr="009C2E2F">
        <w:rPr>
          <w:sz w:val="24"/>
        </w:rPr>
        <w:t xml:space="preserve">their full potential, in practice </w:t>
      </w:r>
      <w:r w:rsidRPr="009C2E2F">
        <w:rPr>
          <w:sz w:val="24"/>
        </w:rPr>
        <w:t>during the current and upcoming BREF Reviews</w:t>
      </w:r>
      <w:r w:rsidRPr="009C2E2F">
        <w:rPr>
          <w:rStyle w:val="FootnoteReference"/>
          <w:sz w:val="24"/>
        </w:rPr>
        <w:footnoteReference w:id="3"/>
      </w:r>
      <w:r w:rsidRPr="009C2E2F">
        <w:rPr>
          <w:sz w:val="24"/>
        </w:rPr>
        <w:t>.</w:t>
      </w:r>
    </w:p>
    <w:p w14:paraId="1D3FD044" w14:textId="77777777" w:rsidR="009C2E2F" w:rsidRDefault="009C2E2F">
      <w:pPr>
        <w:suppressAutoHyphens w:val="0"/>
        <w:jc w:val="left"/>
        <w:rPr>
          <w:rFonts w:ascii="Arial" w:hAnsi="Arial" w:cs="Arial"/>
          <w:b/>
          <w:caps/>
          <w:kern w:val="1"/>
          <w:sz w:val="28"/>
          <w:szCs w:val="20"/>
        </w:rPr>
      </w:pPr>
      <w:r>
        <w:br w:type="page"/>
      </w:r>
    </w:p>
    <w:p w14:paraId="13DDA0D4" w14:textId="66210EC0" w:rsidR="009E66A4" w:rsidRPr="00334753" w:rsidRDefault="009E66A4" w:rsidP="009C2E2F">
      <w:pPr>
        <w:pStyle w:val="Heading1"/>
        <w:keepNext w:val="0"/>
        <w:keepLines w:val="0"/>
        <w:widowControl w:val="0"/>
        <w:spacing w:before="240" w:after="240"/>
        <w:rPr>
          <w:u w:val="single"/>
        </w:rPr>
      </w:pPr>
      <w:r w:rsidRPr="00334753">
        <w:lastRenderedPageBreak/>
        <w:t xml:space="preserve">Work programme implementation </w:t>
      </w:r>
    </w:p>
    <w:p w14:paraId="13DDA0D6" w14:textId="26C652D9" w:rsidR="009E66A4" w:rsidRPr="00334753" w:rsidRDefault="009E66A4" w:rsidP="00334753">
      <w:pPr>
        <w:spacing w:after="240"/>
        <w:rPr>
          <w:sz w:val="24"/>
        </w:rPr>
      </w:pPr>
      <w:r w:rsidRPr="00334753">
        <w:rPr>
          <w:sz w:val="24"/>
        </w:rPr>
        <w:t xml:space="preserve">Since 2012, the Commission </w:t>
      </w:r>
      <w:r w:rsidR="005021F7" w:rsidRPr="00334753">
        <w:rPr>
          <w:sz w:val="24"/>
        </w:rPr>
        <w:t>ha</w:t>
      </w:r>
      <w:r w:rsidR="00F139C5" w:rsidRPr="00334753">
        <w:rPr>
          <w:sz w:val="24"/>
        </w:rPr>
        <w:t>s</w:t>
      </w:r>
      <w:r w:rsidR="005021F7" w:rsidRPr="00334753">
        <w:rPr>
          <w:sz w:val="24"/>
        </w:rPr>
        <w:t xml:space="preserve"> </w:t>
      </w:r>
      <w:r w:rsidRPr="00334753">
        <w:rPr>
          <w:sz w:val="24"/>
        </w:rPr>
        <w:t xml:space="preserve">adopted </w:t>
      </w:r>
      <w:r w:rsidR="00382CA4">
        <w:rPr>
          <w:sz w:val="24"/>
        </w:rPr>
        <w:t>eight</w:t>
      </w:r>
      <w:r w:rsidR="00382CA4" w:rsidRPr="00334753">
        <w:rPr>
          <w:sz w:val="24"/>
        </w:rPr>
        <w:t xml:space="preserve"> </w:t>
      </w:r>
      <w:r w:rsidRPr="00334753">
        <w:rPr>
          <w:sz w:val="24"/>
        </w:rPr>
        <w:t xml:space="preserve">BAT conclusions </w:t>
      </w:r>
      <w:r w:rsidR="00536336">
        <w:rPr>
          <w:sz w:val="24"/>
        </w:rPr>
        <w:t xml:space="preserve">under the IED </w:t>
      </w:r>
      <w:r w:rsidR="002D3EAC" w:rsidRPr="00334753">
        <w:rPr>
          <w:sz w:val="24"/>
        </w:rPr>
        <w:t xml:space="preserve">and published the revised BREFs </w:t>
      </w:r>
      <w:r w:rsidRPr="00334753">
        <w:rPr>
          <w:sz w:val="24"/>
        </w:rPr>
        <w:t>(</w:t>
      </w:r>
      <w:r w:rsidR="003C6DF0" w:rsidRPr="00334753">
        <w:rPr>
          <w:sz w:val="24"/>
        </w:rPr>
        <w:t>Glass;</w:t>
      </w:r>
      <w:r w:rsidRPr="00334753">
        <w:rPr>
          <w:sz w:val="24"/>
        </w:rPr>
        <w:t xml:space="preserve"> </w:t>
      </w:r>
      <w:r w:rsidR="003C6DF0" w:rsidRPr="00334753">
        <w:rPr>
          <w:sz w:val="24"/>
        </w:rPr>
        <w:t>Iron and Steel;</w:t>
      </w:r>
      <w:r w:rsidRPr="00334753">
        <w:rPr>
          <w:sz w:val="24"/>
        </w:rPr>
        <w:t xml:space="preserve"> </w:t>
      </w:r>
      <w:r w:rsidR="003C6DF0" w:rsidRPr="00334753">
        <w:rPr>
          <w:sz w:val="24"/>
        </w:rPr>
        <w:t>Tanning of</w:t>
      </w:r>
      <w:r w:rsidR="00322BB4" w:rsidRPr="00334753">
        <w:rPr>
          <w:sz w:val="24"/>
        </w:rPr>
        <w:t xml:space="preserve"> H</w:t>
      </w:r>
      <w:r w:rsidR="003C6DF0" w:rsidRPr="00334753">
        <w:rPr>
          <w:sz w:val="24"/>
        </w:rPr>
        <w:t>ides and Skins; Cement, Lime and Magnesium Oxide</w:t>
      </w:r>
      <w:r w:rsidR="00935611">
        <w:rPr>
          <w:sz w:val="24"/>
        </w:rPr>
        <w:t xml:space="preserve">; Chlor-Alkali; Pulp, </w:t>
      </w:r>
      <w:r w:rsidR="00E11CAF">
        <w:rPr>
          <w:sz w:val="24"/>
        </w:rPr>
        <w:t>P</w:t>
      </w:r>
      <w:r w:rsidR="00935611">
        <w:rPr>
          <w:sz w:val="24"/>
        </w:rPr>
        <w:t>aper and Board; Refining of Mineral Oil and Gas</w:t>
      </w:r>
      <w:r w:rsidR="00103C5A">
        <w:rPr>
          <w:sz w:val="24"/>
        </w:rPr>
        <w:t>;</w:t>
      </w:r>
      <w:r w:rsidR="00382CA4" w:rsidRPr="00382CA4">
        <w:rPr>
          <w:sz w:val="24"/>
        </w:rPr>
        <w:t xml:space="preserve"> </w:t>
      </w:r>
      <w:r w:rsidR="00382CA4">
        <w:rPr>
          <w:sz w:val="24"/>
        </w:rPr>
        <w:t>Wood-Based Panels</w:t>
      </w:r>
      <w:r w:rsidR="00382CA4">
        <w:rPr>
          <w:rStyle w:val="FootnoteReference"/>
          <w:sz w:val="24"/>
        </w:rPr>
        <w:footnoteReference w:id="4"/>
      </w:r>
      <w:r w:rsidRPr="00334753">
        <w:rPr>
          <w:sz w:val="24"/>
        </w:rPr>
        <w:t xml:space="preserve">). </w:t>
      </w:r>
      <w:r w:rsidR="00382CA4">
        <w:rPr>
          <w:sz w:val="24"/>
        </w:rPr>
        <w:t xml:space="preserve">Two </w:t>
      </w:r>
      <w:r w:rsidR="00E021AE">
        <w:rPr>
          <w:sz w:val="24"/>
        </w:rPr>
        <w:t xml:space="preserve">more </w:t>
      </w:r>
      <w:r w:rsidR="00256D06">
        <w:rPr>
          <w:sz w:val="24"/>
        </w:rPr>
        <w:t xml:space="preserve">sets of </w:t>
      </w:r>
      <w:r w:rsidR="00E021AE">
        <w:rPr>
          <w:sz w:val="24"/>
        </w:rPr>
        <w:t>BAT conclusion</w:t>
      </w:r>
      <w:r w:rsidR="006F0E56">
        <w:rPr>
          <w:sz w:val="24"/>
        </w:rPr>
        <w:t>s</w:t>
      </w:r>
      <w:r w:rsidR="00E021AE">
        <w:rPr>
          <w:sz w:val="24"/>
        </w:rPr>
        <w:t xml:space="preserve"> should be adopted shortly (</w:t>
      </w:r>
      <w:r w:rsidR="008940F9">
        <w:rPr>
          <w:sz w:val="24"/>
        </w:rPr>
        <w:t xml:space="preserve"> (</w:t>
      </w:r>
      <w:r w:rsidR="00935611">
        <w:rPr>
          <w:sz w:val="24"/>
        </w:rPr>
        <w:t xml:space="preserve">Common Waste Water and Waste Gas Treatment/Management </w:t>
      </w:r>
      <w:r w:rsidR="00E11CAF">
        <w:rPr>
          <w:sz w:val="24"/>
        </w:rPr>
        <w:t xml:space="preserve">Systems </w:t>
      </w:r>
      <w:r w:rsidR="00935611">
        <w:rPr>
          <w:sz w:val="24"/>
        </w:rPr>
        <w:t>in the Chemical Sector</w:t>
      </w:r>
      <w:r w:rsidR="00256D06">
        <w:rPr>
          <w:sz w:val="24"/>
        </w:rPr>
        <w:t>;</w:t>
      </w:r>
      <w:r w:rsidR="00935611">
        <w:rPr>
          <w:sz w:val="24"/>
        </w:rPr>
        <w:t xml:space="preserve"> Non-Ferrous Metals</w:t>
      </w:r>
      <w:r w:rsidR="00845CCA" w:rsidRPr="00334753">
        <w:rPr>
          <w:sz w:val="24"/>
        </w:rPr>
        <w:t>)</w:t>
      </w:r>
      <w:r w:rsidRPr="00334753">
        <w:rPr>
          <w:sz w:val="24"/>
        </w:rPr>
        <w:t>.</w:t>
      </w:r>
    </w:p>
    <w:p w14:paraId="13DDA0D7" w14:textId="44E344DE" w:rsidR="007B1AF5" w:rsidRPr="009C2E2F" w:rsidRDefault="009E66A4" w:rsidP="00334753">
      <w:pPr>
        <w:spacing w:after="240"/>
        <w:rPr>
          <w:sz w:val="24"/>
        </w:rPr>
      </w:pPr>
      <w:r w:rsidRPr="00334753">
        <w:rPr>
          <w:sz w:val="24"/>
        </w:rPr>
        <w:t>Currently,</w:t>
      </w:r>
      <w:r w:rsidR="00DA12EF" w:rsidRPr="00334753">
        <w:rPr>
          <w:sz w:val="24"/>
        </w:rPr>
        <w:t xml:space="preserve"> </w:t>
      </w:r>
      <w:r w:rsidR="00103C5A">
        <w:rPr>
          <w:sz w:val="24"/>
        </w:rPr>
        <w:t>eight</w:t>
      </w:r>
      <w:r w:rsidR="00103C5A" w:rsidRPr="00334753">
        <w:rPr>
          <w:sz w:val="24"/>
        </w:rPr>
        <w:t xml:space="preserve"> </w:t>
      </w:r>
      <w:r w:rsidR="008940F9">
        <w:rPr>
          <w:sz w:val="24"/>
        </w:rPr>
        <w:t xml:space="preserve">other </w:t>
      </w:r>
      <w:r w:rsidR="00DA12EF" w:rsidRPr="00334753">
        <w:rPr>
          <w:sz w:val="24"/>
        </w:rPr>
        <w:t>BREF documents</w:t>
      </w:r>
      <w:r w:rsidR="008940F9">
        <w:rPr>
          <w:sz w:val="24"/>
        </w:rPr>
        <w:t xml:space="preserve"> </w:t>
      </w:r>
      <w:r w:rsidR="002D3EAC" w:rsidRPr="00334753">
        <w:rPr>
          <w:sz w:val="24"/>
        </w:rPr>
        <w:t>are actively being worked on by the European IPPC Bureau</w:t>
      </w:r>
      <w:r w:rsidR="002D3EAC">
        <w:rPr>
          <w:sz w:val="24"/>
        </w:rPr>
        <w:t xml:space="preserve"> </w:t>
      </w:r>
      <w:r w:rsidR="004A68D5">
        <w:rPr>
          <w:sz w:val="24"/>
        </w:rPr>
        <w:t xml:space="preserve">(Intensive Rearing of Poultry </w:t>
      </w:r>
      <w:r w:rsidR="008940F9">
        <w:rPr>
          <w:sz w:val="24"/>
        </w:rPr>
        <w:t xml:space="preserve">or </w:t>
      </w:r>
      <w:r w:rsidR="004A68D5">
        <w:rPr>
          <w:sz w:val="24"/>
        </w:rPr>
        <w:t>Pigs; Large Volume Organic Chemicals; Large Combustion Plants; Waste Treatment; Food, Drink and Milk; Waste Incineration; Surface Treatment Using Organic Solvents</w:t>
      </w:r>
      <w:r w:rsidR="008940F9">
        <w:rPr>
          <w:sz w:val="24"/>
        </w:rPr>
        <w:t>/W</w:t>
      </w:r>
      <w:r w:rsidR="008940F9" w:rsidRPr="003A3273">
        <w:rPr>
          <w:sz w:val="24"/>
        </w:rPr>
        <w:t xml:space="preserve">ood </w:t>
      </w:r>
      <w:r w:rsidR="008940F9">
        <w:rPr>
          <w:sz w:val="24"/>
        </w:rPr>
        <w:t>P</w:t>
      </w:r>
      <w:r w:rsidR="008940F9" w:rsidRPr="003A3273">
        <w:rPr>
          <w:sz w:val="24"/>
        </w:rPr>
        <w:t xml:space="preserve">reservation with </w:t>
      </w:r>
      <w:r w:rsidR="008940F9">
        <w:rPr>
          <w:sz w:val="24"/>
        </w:rPr>
        <w:t>C</w:t>
      </w:r>
      <w:r w:rsidR="008940F9" w:rsidRPr="003A3273">
        <w:rPr>
          <w:sz w:val="24"/>
        </w:rPr>
        <w:t>hemicals</w:t>
      </w:r>
      <w:r w:rsidR="00103C5A">
        <w:rPr>
          <w:sz w:val="24"/>
        </w:rPr>
        <w:t>; Ferrous Metals Processing</w:t>
      </w:r>
      <w:r w:rsidR="004A68D5">
        <w:rPr>
          <w:sz w:val="24"/>
        </w:rPr>
        <w:t>)</w:t>
      </w:r>
      <w:r w:rsidRPr="00334753">
        <w:rPr>
          <w:sz w:val="24"/>
        </w:rPr>
        <w:t xml:space="preserve">. In addition, the Bureau is </w:t>
      </w:r>
      <w:r w:rsidR="002A1F19">
        <w:rPr>
          <w:sz w:val="24"/>
        </w:rPr>
        <w:t>finalising the</w:t>
      </w:r>
      <w:r w:rsidRPr="00334753">
        <w:rPr>
          <w:sz w:val="24"/>
        </w:rPr>
        <w:t xml:space="preserve"> JRC Reference Report on Monitoring</w:t>
      </w:r>
      <w:r w:rsidR="002A1F19">
        <w:rPr>
          <w:sz w:val="24"/>
        </w:rPr>
        <w:t xml:space="preserve"> of emissions </w:t>
      </w:r>
      <w:r w:rsidR="002D3EAC">
        <w:rPr>
          <w:sz w:val="24"/>
        </w:rPr>
        <w:t xml:space="preserve">to air and water </w:t>
      </w:r>
      <w:r w:rsidR="002A1F19" w:rsidRPr="009C2E2F">
        <w:rPr>
          <w:sz w:val="24"/>
        </w:rPr>
        <w:t>from IED</w:t>
      </w:r>
      <w:r w:rsidR="008940F9" w:rsidRPr="009C2E2F">
        <w:rPr>
          <w:sz w:val="24"/>
        </w:rPr>
        <w:t xml:space="preserve"> </w:t>
      </w:r>
      <w:r w:rsidR="002A1F19" w:rsidRPr="009C2E2F">
        <w:rPr>
          <w:sz w:val="24"/>
        </w:rPr>
        <w:t>installations (ROM)</w:t>
      </w:r>
      <w:r w:rsidR="00845CCA" w:rsidRPr="009C2E2F">
        <w:rPr>
          <w:sz w:val="24"/>
        </w:rPr>
        <w:t>.</w:t>
      </w:r>
    </w:p>
    <w:p w14:paraId="68C73488" w14:textId="5DD5C167" w:rsidR="00233171" w:rsidRDefault="00536336" w:rsidP="007B1AF5">
      <w:pPr>
        <w:spacing w:after="240"/>
        <w:rPr>
          <w:sz w:val="24"/>
        </w:rPr>
      </w:pPr>
      <w:r w:rsidRPr="009C2E2F">
        <w:rPr>
          <w:sz w:val="24"/>
        </w:rPr>
        <w:t>At this moment</w:t>
      </w:r>
      <w:r w:rsidR="00233171" w:rsidRPr="009C2E2F">
        <w:rPr>
          <w:sz w:val="24"/>
        </w:rPr>
        <w:t>,</w:t>
      </w:r>
      <w:r w:rsidRPr="009C2E2F">
        <w:rPr>
          <w:sz w:val="24"/>
        </w:rPr>
        <w:t xml:space="preserve"> with a number of very important and heavy BREF reviews </w:t>
      </w:r>
      <w:r w:rsidR="00B5711C" w:rsidRPr="009C2E2F">
        <w:rPr>
          <w:sz w:val="24"/>
        </w:rPr>
        <w:t xml:space="preserve">being at the principal </w:t>
      </w:r>
      <w:r w:rsidRPr="009C2E2F">
        <w:rPr>
          <w:sz w:val="24"/>
        </w:rPr>
        <w:t>stages of the process</w:t>
      </w:r>
      <w:r w:rsidR="002047FF" w:rsidRPr="009C2E2F">
        <w:rPr>
          <w:sz w:val="24"/>
        </w:rPr>
        <w:t>,</w:t>
      </w:r>
      <w:r w:rsidR="00B5711C" w:rsidRPr="009C2E2F">
        <w:rPr>
          <w:sz w:val="24"/>
        </w:rPr>
        <w:t xml:space="preserve"> creating a high workload for the European IPPC Bureau, </w:t>
      </w:r>
      <w:r w:rsidR="00233171" w:rsidRPr="009C2E2F">
        <w:rPr>
          <w:sz w:val="24"/>
        </w:rPr>
        <w:t xml:space="preserve">it </w:t>
      </w:r>
      <w:r w:rsidR="00256D06" w:rsidRPr="009C2E2F">
        <w:rPr>
          <w:sz w:val="24"/>
        </w:rPr>
        <w:t xml:space="preserve">has </w:t>
      </w:r>
      <w:r w:rsidR="00B5711C" w:rsidRPr="009C2E2F">
        <w:rPr>
          <w:sz w:val="24"/>
        </w:rPr>
        <w:t xml:space="preserve">to be concluded </w:t>
      </w:r>
      <w:r w:rsidR="004338D8" w:rsidRPr="009C2E2F">
        <w:rPr>
          <w:sz w:val="24"/>
        </w:rPr>
        <w:t>that the number of BREF review</w:t>
      </w:r>
      <w:r w:rsidR="00256D06" w:rsidRPr="009C2E2F">
        <w:rPr>
          <w:sz w:val="24"/>
        </w:rPr>
        <w:t>s</w:t>
      </w:r>
      <w:r w:rsidR="004338D8" w:rsidRPr="009C2E2F">
        <w:rPr>
          <w:sz w:val="24"/>
        </w:rPr>
        <w:t xml:space="preserve"> which</w:t>
      </w:r>
      <w:r w:rsidR="00233171" w:rsidRPr="009C2E2F">
        <w:rPr>
          <w:sz w:val="24"/>
        </w:rPr>
        <w:t xml:space="preserve"> can be started in </w:t>
      </w:r>
      <w:r w:rsidR="00B5711C" w:rsidRPr="009C2E2F">
        <w:rPr>
          <w:sz w:val="24"/>
        </w:rPr>
        <w:t>2016</w:t>
      </w:r>
      <w:r w:rsidR="00233171" w:rsidRPr="009C2E2F">
        <w:rPr>
          <w:sz w:val="24"/>
        </w:rPr>
        <w:t xml:space="preserve"> </w:t>
      </w:r>
      <w:r w:rsidR="00B5711C" w:rsidRPr="009C2E2F">
        <w:rPr>
          <w:sz w:val="24"/>
        </w:rPr>
        <w:t xml:space="preserve">will be </w:t>
      </w:r>
      <w:r w:rsidR="00233171" w:rsidRPr="009C2E2F">
        <w:rPr>
          <w:sz w:val="24"/>
        </w:rPr>
        <w:t>two</w:t>
      </w:r>
      <w:r w:rsidR="00FA7A30" w:rsidRPr="009C2E2F">
        <w:rPr>
          <w:sz w:val="24"/>
        </w:rPr>
        <w:t>,</w:t>
      </w:r>
      <w:r w:rsidR="00233171" w:rsidRPr="009C2E2F">
        <w:rPr>
          <w:sz w:val="24"/>
        </w:rPr>
        <w:t xml:space="preserve"> rather than four as originally targeted. </w:t>
      </w:r>
      <w:r w:rsidR="00B5711C" w:rsidRPr="009C2E2F">
        <w:rPr>
          <w:sz w:val="24"/>
        </w:rPr>
        <w:t xml:space="preserve">Therefore, while maintaining the longer term objective of launching four BREF reviews per year on average, </w:t>
      </w:r>
      <w:r w:rsidR="00D02741">
        <w:rPr>
          <w:sz w:val="24"/>
        </w:rPr>
        <w:t>the Commission</w:t>
      </w:r>
      <w:r w:rsidR="00D02741" w:rsidRPr="009C2E2F">
        <w:rPr>
          <w:sz w:val="24"/>
        </w:rPr>
        <w:t xml:space="preserve"> </w:t>
      </w:r>
      <w:r w:rsidR="00B5711C" w:rsidRPr="009C2E2F">
        <w:rPr>
          <w:sz w:val="24"/>
        </w:rPr>
        <w:t>propose</w:t>
      </w:r>
      <w:r w:rsidR="00D02741">
        <w:rPr>
          <w:sz w:val="24"/>
        </w:rPr>
        <w:t>s</w:t>
      </w:r>
      <w:r w:rsidR="00B5711C" w:rsidRPr="009C2E2F">
        <w:rPr>
          <w:sz w:val="24"/>
        </w:rPr>
        <w:t xml:space="preserve"> to lower this number for </w:t>
      </w:r>
      <w:r w:rsidR="00103C5A">
        <w:rPr>
          <w:sz w:val="24"/>
        </w:rPr>
        <w:t>2016</w:t>
      </w:r>
      <w:r w:rsidR="00B5711C" w:rsidRPr="009C2E2F">
        <w:rPr>
          <w:sz w:val="24"/>
        </w:rPr>
        <w:t xml:space="preserve">. Closing a number of heavy BREF reviews and </w:t>
      </w:r>
      <w:r w:rsidR="00D02741">
        <w:rPr>
          <w:sz w:val="24"/>
        </w:rPr>
        <w:t>materialising</w:t>
      </w:r>
      <w:r w:rsidR="00B5711C" w:rsidRPr="009C2E2F">
        <w:rPr>
          <w:sz w:val="24"/>
        </w:rPr>
        <w:t xml:space="preserve"> the focused approach mentioned under point 2 should allow </w:t>
      </w:r>
      <w:r w:rsidR="000A590C" w:rsidRPr="009C2E2F">
        <w:rPr>
          <w:sz w:val="24"/>
        </w:rPr>
        <w:t>picking</w:t>
      </w:r>
      <w:r w:rsidR="00B5711C" w:rsidRPr="009C2E2F">
        <w:rPr>
          <w:sz w:val="24"/>
        </w:rPr>
        <w:t xml:space="preserve"> up the pace towards the next years</w:t>
      </w:r>
      <w:r w:rsidR="00B5711C" w:rsidRPr="009C2E2F">
        <w:rPr>
          <w:rStyle w:val="FootnoteReference"/>
          <w:sz w:val="24"/>
        </w:rPr>
        <w:footnoteReference w:id="5"/>
      </w:r>
      <w:r w:rsidR="00B5711C" w:rsidRPr="009C2E2F">
        <w:rPr>
          <w:sz w:val="24"/>
        </w:rPr>
        <w:t>.</w:t>
      </w:r>
    </w:p>
    <w:p w14:paraId="7E9F5C54" w14:textId="77777777" w:rsidR="00995D11" w:rsidRPr="00334753" w:rsidRDefault="00995D11" w:rsidP="007B1AF5">
      <w:pPr>
        <w:spacing w:after="240"/>
        <w:rPr>
          <w:sz w:val="24"/>
        </w:rPr>
      </w:pPr>
    </w:p>
    <w:p w14:paraId="13DDA0DD" w14:textId="257FFD19" w:rsidR="004E3A98" w:rsidRPr="009C2E2F" w:rsidRDefault="004E3A98" w:rsidP="009C2E2F">
      <w:pPr>
        <w:pStyle w:val="Heading1"/>
        <w:spacing w:before="240" w:after="240"/>
      </w:pPr>
      <w:r w:rsidRPr="00334753">
        <w:t xml:space="preserve">Work programme </w:t>
      </w:r>
      <w:r w:rsidR="00995D11">
        <w:t>to review the chemical BREF</w:t>
      </w:r>
      <w:r w:rsidR="00995D11">
        <w:rPr>
          <w:caps w:val="0"/>
          <w:kern w:val="28"/>
        </w:rPr>
        <w:t>s</w:t>
      </w:r>
    </w:p>
    <w:p w14:paraId="558E7771" w14:textId="22226F7E" w:rsidR="00831939" w:rsidRDefault="00D72D52" w:rsidP="00334753">
      <w:pPr>
        <w:spacing w:after="240"/>
        <w:rPr>
          <w:sz w:val="24"/>
        </w:rPr>
      </w:pPr>
      <w:r w:rsidRPr="00A74FA1">
        <w:rPr>
          <w:sz w:val="24"/>
        </w:rPr>
        <w:t xml:space="preserve">In </w:t>
      </w:r>
      <w:r w:rsidR="003E213B">
        <w:rPr>
          <w:sz w:val="24"/>
        </w:rPr>
        <w:t>its meeting</w:t>
      </w:r>
      <w:r w:rsidR="00A16F11">
        <w:rPr>
          <w:sz w:val="24"/>
        </w:rPr>
        <w:t>s</w:t>
      </w:r>
      <w:r w:rsidR="003E213B">
        <w:rPr>
          <w:sz w:val="24"/>
        </w:rPr>
        <w:t xml:space="preserve"> of 24 September and 4 December </w:t>
      </w:r>
      <w:r w:rsidRPr="00A74FA1">
        <w:rPr>
          <w:sz w:val="24"/>
        </w:rPr>
        <w:t xml:space="preserve">2014, the forum discussed </w:t>
      </w:r>
      <w:r>
        <w:rPr>
          <w:sz w:val="24"/>
        </w:rPr>
        <w:t xml:space="preserve">the </w:t>
      </w:r>
      <w:r w:rsidR="00831939">
        <w:rPr>
          <w:sz w:val="24"/>
        </w:rPr>
        <w:t xml:space="preserve">outstanding work </w:t>
      </w:r>
      <w:r w:rsidR="009C2E2F">
        <w:rPr>
          <w:sz w:val="24"/>
        </w:rPr>
        <w:t xml:space="preserve">for </w:t>
      </w:r>
      <w:r w:rsidR="009F208F">
        <w:rPr>
          <w:sz w:val="24"/>
        </w:rPr>
        <w:t xml:space="preserve">the </w:t>
      </w:r>
      <w:r>
        <w:rPr>
          <w:sz w:val="24"/>
        </w:rPr>
        <w:t xml:space="preserve">review </w:t>
      </w:r>
      <w:r w:rsidR="009C2E2F">
        <w:rPr>
          <w:sz w:val="24"/>
        </w:rPr>
        <w:t xml:space="preserve">of </w:t>
      </w:r>
      <w:r w:rsidRPr="00334753">
        <w:rPr>
          <w:sz w:val="24"/>
        </w:rPr>
        <w:t>the chemical BREFs</w:t>
      </w:r>
      <w:r>
        <w:rPr>
          <w:sz w:val="24"/>
        </w:rPr>
        <w:t xml:space="preserve"> </w:t>
      </w:r>
      <w:r w:rsidRPr="00334753">
        <w:rPr>
          <w:sz w:val="24"/>
        </w:rPr>
        <w:t>in light of the IED provisions and the lessons learnt from the three chemical BREF reviews</w:t>
      </w:r>
      <w:r w:rsidR="00D72851" w:rsidRPr="00334753">
        <w:rPr>
          <w:rStyle w:val="FootnoteReference"/>
          <w:sz w:val="24"/>
        </w:rPr>
        <w:footnoteReference w:id="6"/>
      </w:r>
      <w:r w:rsidRPr="00334753">
        <w:rPr>
          <w:sz w:val="24"/>
        </w:rPr>
        <w:t xml:space="preserve"> undertaken so far</w:t>
      </w:r>
      <w:r w:rsidR="00D72851">
        <w:rPr>
          <w:rStyle w:val="FootnoteReference"/>
          <w:sz w:val="24"/>
        </w:rPr>
        <w:footnoteReference w:id="7"/>
      </w:r>
      <w:r w:rsidR="00D72851" w:rsidRPr="00D72851">
        <w:rPr>
          <w:sz w:val="24"/>
          <w:vertAlign w:val="superscript"/>
        </w:rPr>
        <w:t>,</w:t>
      </w:r>
      <w:r w:rsidR="00D72851">
        <w:rPr>
          <w:rStyle w:val="FootnoteReference"/>
          <w:sz w:val="24"/>
        </w:rPr>
        <w:footnoteReference w:id="8"/>
      </w:r>
      <w:r w:rsidRPr="00334753">
        <w:rPr>
          <w:sz w:val="24"/>
        </w:rPr>
        <w:t>.</w:t>
      </w:r>
    </w:p>
    <w:p w14:paraId="13DDA0E0" w14:textId="07CBD0AB" w:rsidR="00F1509A" w:rsidRDefault="00A9190D" w:rsidP="00334753">
      <w:pPr>
        <w:spacing w:after="240"/>
        <w:rPr>
          <w:sz w:val="24"/>
        </w:rPr>
      </w:pPr>
      <w:r>
        <w:rPr>
          <w:sz w:val="24"/>
        </w:rPr>
        <w:t>T</w:t>
      </w:r>
      <w:r w:rsidR="00F1509A">
        <w:rPr>
          <w:sz w:val="24"/>
        </w:rPr>
        <w:t xml:space="preserve">he forum </w:t>
      </w:r>
      <w:r w:rsidR="00790549">
        <w:rPr>
          <w:sz w:val="24"/>
        </w:rPr>
        <w:t xml:space="preserve">confirmed </w:t>
      </w:r>
      <w:r w:rsidR="00E83ABB">
        <w:rPr>
          <w:sz w:val="24"/>
        </w:rPr>
        <w:t xml:space="preserve">the need </w:t>
      </w:r>
      <w:r w:rsidR="00767B74">
        <w:rPr>
          <w:sz w:val="24"/>
        </w:rPr>
        <w:t xml:space="preserve">to conduct </w:t>
      </w:r>
      <w:r w:rsidR="00F1509A">
        <w:rPr>
          <w:sz w:val="24"/>
        </w:rPr>
        <w:t xml:space="preserve">the review of the chemical BREF series </w:t>
      </w:r>
      <w:r w:rsidR="00E83ABB">
        <w:rPr>
          <w:sz w:val="24"/>
        </w:rPr>
        <w:t>with more</w:t>
      </w:r>
      <w:r w:rsidR="00F1509A">
        <w:rPr>
          <w:sz w:val="24"/>
        </w:rPr>
        <w:t xml:space="preserve"> effectiveness and efficiency</w:t>
      </w:r>
      <w:r w:rsidR="003B33E4">
        <w:rPr>
          <w:sz w:val="24"/>
        </w:rPr>
        <w:t>, and more specifically to readjust the balance between generic and specific BAT conclusions</w:t>
      </w:r>
      <w:r w:rsidR="00831939">
        <w:rPr>
          <w:sz w:val="24"/>
        </w:rPr>
        <w:t xml:space="preserve">, relying on </w:t>
      </w:r>
      <w:r w:rsidR="00B64A93">
        <w:rPr>
          <w:sz w:val="24"/>
        </w:rPr>
        <w:t>the</w:t>
      </w:r>
      <w:r w:rsidR="001F3B27">
        <w:rPr>
          <w:sz w:val="24"/>
        </w:rPr>
        <w:t xml:space="preserve"> </w:t>
      </w:r>
      <w:r w:rsidR="00831939">
        <w:rPr>
          <w:sz w:val="24"/>
        </w:rPr>
        <w:t xml:space="preserve">following </w:t>
      </w:r>
      <w:r w:rsidR="001F3B27">
        <w:rPr>
          <w:sz w:val="24"/>
        </w:rPr>
        <w:t>general principles:</w:t>
      </w:r>
    </w:p>
    <w:p w14:paraId="13DDA0E1" w14:textId="3C12102C" w:rsidR="00282D9E" w:rsidRPr="00767B74" w:rsidRDefault="00282D9E" w:rsidP="00767B74">
      <w:pPr>
        <w:numPr>
          <w:ilvl w:val="0"/>
          <w:numId w:val="32"/>
        </w:numPr>
        <w:spacing w:after="240"/>
        <w:rPr>
          <w:b/>
          <w:sz w:val="24"/>
        </w:rPr>
      </w:pPr>
      <w:r w:rsidRPr="00767B74">
        <w:rPr>
          <w:b/>
          <w:sz w:val="24"/>
        </w:rPr>
        <w:t>Targeted effort</w:t>
      </w:r>
      <w:r w:rsidR="00767B74" w:rsidRPr="00767B74">
        <w:rPr>
          <w:b/>
          <w:sz w:val="24"/>
        </w:rPr>
        <w:t>:</w:t>
      </w:r>
      <w:r w:rsidR="00767B74" w:rsidRPr="00767B74">
        <w:rPr>
          <w:sz w:val="24"/>
        </w:rPr>
        <w:t xml:space="preserve"> ensure that resource inputs match information exchange outputs</w:t>
      </w:r>
      <w:r w:rsidR="00A16F11">
        <w:rPr>
          <w:sz w:val="24"/>
        </w:rPr>
        <w:t>,</w:t>
      </w:r>
      <w:r w:rsidR="00767B74" w:rsidRPr="00767B74">
        <w:rPr>
          <w:sz w:val="24"/>
        </w:rPr>
        <w:t xml:space="preserve"> and focus TWG efforts on BAT/BAT-AELs for key environmental issues;</w:t>
      </w:r>
    </w:p>
    <w:p w14:paraId="13DDA0E4" w14:textId="777C6FF4" w:rsidR="00554077" w:rsidRPr="00081336" w:rsidRDefault="00554077" w:rsidP="00554077">
      <w:pPr>
        <w:numPr>
          <w:ilvl w:val="0"/>
          <w:numId w:val="32"/>
        </w:numPr>
        <w:spacing w:after="240"/>
        <w:rPr>
          <w:b/>
          <w:sz w:val="24"/>
        </w:rPr>
      </w:pPr>
      <w:r w:rsidRPr="00081336">
        <w:rPr>
          <w:b/>
          <w:sz w:val="24"/>
        </w:rPr>
        <w:t>Transparency</w:t>
      </w:r>
      <w:r w:rsidR="00767B74">
        <w:rPr>
          <w:b/>
          <w:sz w:val="24"/>
        </w:rPr>
        <w:t xml:space="preserve">: </w:t>
      </w:r>
      <w:r w:rsidR="00767B74" w:rsidRPr="00CB7975">
        <w:rPr>
          <w:sz w:val="24"/>
        </w:rPr>
        <w:t>enhance transparency of the information exchange</w:t>
      </w:r>
      <w:r w:rsidR="00767B74">
        <w:rPr>
          <w:sz w:val="24"/>
        </w:rPr>
        <w:t>;</w:t>
      </w:r>
    </w:p>
    <w:p w14:paraId="13DDA0E6" w14:textId="3612D0E9" w:rsidR="00554077" w:rsidRPr="00081336" w:rsidRDefault="00554077" w:rsidP="00554077">
      <w:pPr>
        <w:numPr>
          <w:ilvl w:val="0"/>
          <w:numId w:val="32"/>
        </w:numPr>
        <w:spacing w:after="240"/>
        <w:rPr>
          <w:b/>
          <w:sz w:val="24"/>
        </w:rPr>
      </w:pPr>
      <w:r w:rsidRPr="00081336">
        <w:rPr>
          <w:b/>
          <w:sz w:val="24"/>
        </w:rPr>
        <w:t>Efficiency</w:t>
      </w:r>
      <w:r w:rsidR="00767B74">
        <w:rPr>
          <w:b/>
          <w:sz w:val="24"/>
        </w:rPr>
        <w:t xml:space="preserve">: </w:t>
      </w:r>
      <w:r w:rsidR="00767B74">
        <w:rPr>
          <w:sz w:val="24"/>
        </w:rPr>
        <w:t xml:space="preserve">ensure that efforts made so far are not </w:t>
      </w:r>
      <w:r w:rsidR="00A16F11">
        <w:rPr>
          <w:sz w:val="24"/>
        </w:rPr>
        <w:t xml:space="preserve">wasted </w:t>
      </w:r>
      <w:r w:rsidR="00767B74">
        <w:rPr>
          <w:sz w:val="24"/>
        </w:rPr>
        <w:t xml:space="preserve">and </w:t>
      </w:r>
      <w:r w:rsidR="00767B74" w:rsidRPr="00CB7975">
        <w:rPr>
          <w:sz w:val="24"/>
        </w:rPr>
        <w:t>avoid further delays to BREF reviews</w:t>
      </w:r>
      <w:r w:rsidR="00767B74">
        <w:rPr>
          <w:sz w:val="24"/>
        </w:rPr>
        <w:t>;</w:t>
      </w:r>
    </w:p>
    <w:p w14:paraId="13DDA0EA" w14:textId="02FEFAF6" w:rsidR="00F1509A" w:rsidRPr="00767B74" w:rsidRDefault="00CB7975" w:rsidP="00767B74">
      <w:pPr>
        <w:numPr>
          <w:ilvl w:val="0"/>
          <w:numId w:val="32"/>
        </w:numPr>
        <w:spacing w:after="240"/>
        <w:rPr>
          <w:b/>
          <w:sz w:val="24"/>
        </w:rPr>
      </w:pPr>
      <w:r w:rsidRPr="00A74FA1">
        <w:rPr>
          <w:b/>
          <w:sz w:val="24"/>
        </w:rPr>
        <w:lastRenderedPageBreak/>
        <w:t>Generic BAT if possible</w:t>
      </w:r>
      <w:r w:rsidR="00767B74">
        <w:rPr>
          <w:b/>
          <w:sz w:val="24"/>
        </w:rPr>
        <w:t xml:space="preserve">: </w:t>
      </w:r>
      <w:r w:rsidR="00767B74" w:rsidRPr="00CB7975">
        <w:rPr>
          <w:sz w:val="24"/>
        </w:rPr>
        <w:t>define BAT/BAT-AELs at the most generic level possible</w:t>
      </w:r>
      <w:r w:rsidR="00767B74">
        <w:rPr>
          <w:sz w:val="24"/>
        </w:rPr>
        <w:t xml:space="preserve"> and d</w:t>
      </w:r>
      <w:r w:rsidR="00767B74" w:rsidRPr="00754101">
        <w:rPr>
          <w:sz w:val="24"/>
        </w:rPr>
        <w:t>escribe specific products/processes only if key</w:t>
      </w:r>
      <w:r w:rsidR="00767B74">
        <w:rPr>
          <w:sz w:val="24"/>
        </w:rPr>
        <w:t xml:space="preserve"> </w:t>
      </w:r>
      <w:r w:rsidR="00767B74" w:rsidRPr="00754101">
        <w:rPr>
          <w:sz w:val="24"/>
        </w:rPr>
        <w:t>environmental issues cannot be adequately covered by</w:t>
      </w:r>
      <w:r w:rsidR="00767B74">
        <w:rPr>
          <w:sz w:val="24"/>
        </w:rPr>
        <w:t xml:space="preserve"> </w:t>
      </w:r>
      <w:r w:rsidR="00767B74" w:rsidRPr="00754101">
        <w:rPr>
          <w:sz w:val="24"/>
        </w:rPr>
        <w:t>generic BAT</w:t>
      </w:r>
      <w:r w:rsidR="00767B74">
        <w:rPr>
          <w:sz w:val="24"/>
        </w:rPr>
        <w:t>.</w:t>
      </w:r>
    </w:p>
    <w:p w14:paraId="02D6ABB9" w14:textId="10247B49" w:rsidR="00831939" w:rsidRDefault="00831939" w:rsidP="008D1416">
      <w:pPr>
        <w:spacing w:after="240"/>
        <w:rPr>
          <w:sz w:val="24"/>
        </w:rPr>
      </w:pPr>
      <w:r>
        <w:rPr>
          <w:sz w:val="24"/>
        </w:rPr>
        <w:t>At the heart of the discussion on this matter was the question on how to deal with air pollutants common to the chemical industry</w:t>
      </w:r>
      <w:r w:rsidR="007722F6">
        <w:rPr>
          <w:sz w:val="24"/>
        </w:rPr>
        <w:t xml:space="preserve"> in adherence to the aforementioned principles</w:t>
      </w:r>
      <w:r>
        <w:rPr>
          <w:sz w:val="24"/>
        </w:rPr>
        <w:t>.</w:t>
      </w:r>
      <w:r w:rsidR="007722F6">
        <w:rPr>
          <w:sz w:val="24"/>
        </w:rPr>
        <w:t xml:space="preserve"> </w:t>
      </w:r>
      <w:r w:rsidR="00697210">
        <w:rPr>
          <w:sz w:val="24"/>
        </w:rPr>
        <w:t xml:space="preserve">The Commission believes </w:t>
      </w:r>
      <w:r w:rsidR="007722F6">
        <w:rPr>
          <w:sz w:val="24"/>
        </w:rPr>
        <w:t>that the best way of doing so is to draw up a new BREF on Common Waste Gas Treatment in the Chemical sector (WGC), starting in 2016.</w:t>
      </w:r>
      <w:r w:rsidR="00A83765">
        <w:rPr>
          <w:sz w:val="24"/>
        </w:rPr>
        <w:t xml:space="preserve"> </w:t>
      </w:r>
      <w:r w:rsidR="000841C5">
        <w:rPr>
          <w:sz w:val="24"/>
        </w:rPr>
        <w:t xml:space="preserve">Several proposals were </w:t>
      </w:r>
      <w:r w:rsidR="007722F6">
        <w:rPr>
          <w:sz w:val="24"/>
        </w:rPr>
        <w:t xml:space="preserve">already </w:t>
      </w:r>
      <w:r w:rsidR="000841C5">
        <w:rPr>
          <w:sz w:val="24"/>
        </w:rPr>
        <w:t>made on how to identify air pollutants common to the chemical industry</w:t>
      </w:r>
      <w:r w:rsidR="007722F6">
        <w:rPr>
          <w:sz w:val="24"/>
        </w:rPr>
        <w:t>,</w:t>
      </w:r>
      <w:r w:rsidR="000841C5">
        <w:rPr>
          <w:sz w:val="24"/>
        </w:rPr>
        <w:t xml:space="preserve"> including candidate lists that could be used as starting points (e.g. IED Annex II; pollutants with BAT-AELs and similar abatement techniques in several of the current chemical BREFs; </w:t>
      </w:r>
      <w:r w:rsidR="00B24209">
        <w:rPr>
          <w:sz w:val="24"/>
        </w:rPr>
        <w:t xml:space="preserve">Tables 6.2 and 6.3 in the LVOC BREF adopted in 2003; </w:t>
      </w:r>
      <w:r w:rsidR="000841C5">
        <w:rPr>
          <w:sz w:val="24"/>
        </w:rPr>
        <w:t>pollutants that are regulated on a generic level in Member States' legislation).</w:t>
      </w:r>
    </w:p>
    <w:p w14:paraId="387F07C6" w14:textId="0EC83BAF" w:rsidR="00A83765" w:rsidRDefault="000841C5" w:rsidP="008D1416">
      <w:pPr>
        <w:spacing w:after="240"/>
        <w:rPr>
          <w:sz w:val="24"/>
        </w:rPr>
      </w:pPr>
      <w:r>
        <w:rPr>
          <w:sz w:val="24"/>
        </w:rPr>
        <w:t xml:space="preserve">The drawing up of the WGC BREF will </w:t>
      </w:r>
      <w:r w:rsidR="007722F6">
        <w:rPr>
          <w:sz w:val="24"/>
        </w:rPr>
        <w:t xml:space="preserve">anyhow </w:t>
      </w:r>
      <w:r>
        <w:rPr>
          <w:sz w:val="24"/>
        </w:rPr>
        <w:t xml:space="preserve">require frontloading work in order to </w:t>
      </w:r>
      <w:r w:rsidR="00B24209">
        <w:rPr>
          <w:sz w:val="24"/>
        </w:rPr>
        <w:t xml:space="preserve">decide at the kick-off meeting on the scope and the </w:t>
      </w:r>
      <w:r>
        <w:rPr>
          <w:sz w:val="24"/>
        </w:rPr>
        <w:t xml:space="preserve">pollutants </w:t>
      </w:r>
      <w:r w:rsidR="00B24209">
        <w:rPr>
          <w:sz w:val="24"/>
        </w:rPr>
        <w:t xml:space="preserve">to </w:t>
      </w:r>
      <w:r>
        <w:rPr>
          <w:sz w:val="24"/>
        </w:rPr>
        <w:t xml:space="preserve">be addressed. </w:t>
      </w:r>
      <w:r w:rsidR="007722F6">
        <w:rPr>
          <w:sz w:val="24"/>
        </w:rPr>
        <w:t>Furthermore,</w:t>
      </w:r>
      <w:r w:rsidR="005629B1">
        <w:rPr>
          <w:sz w:val="24"/>
        </w:rPr>
        <w:t xml:space="preserve"> the </w:t>
      </w:r>
      <w:r w:rsidR="001730EF">
        <w:rPr>
          <w:sz w:val="24"/>
        </w:rPr>
        <w:t xml:space="preserve">possible </w:t>
      </w:r>
      <w:r w:rsidR="00A83765">
        <w:rPr>
          <w:sz w:val="24"/>
        </w:rPr>
        <w:t>drawbacks</w:t>
      </w:r>
      <w:r w:rsidR="005629B1">
        <w:rPr>
          <w:sz w:val="24"/>
        </w:rPr>
        <w:t xml:space="preserve"> </w:t>
      </w:r>
      <w:r w:rsidR="001730EF">
        <w:rPr>
          <w:sz w:val="24"/>
        </w:rPr>
        <w:t xml:space="preserve">of </w:t>
      </w:r>
      <w:r w:rsidR="007722F6">
        <w:rPr>
          <w:sz w:val="24"/>
        </w:rPr>
        <w:t>defining more generic BAT</w:t>
      </w:r>
      <w:r w:rsidR="005629B1">
        <w:rPr>
          <w:sz w:val="24"/>
        </w:rPr>
        <w:t xml:space="preserve"> </w:t>
      </w:r>
      <w:r w:rsidR="001730EF">
        <w:rPr>
          <w:sz w:val="24"/>
        </w:rPr>
        <w:t>(e.g. wide BAT-AEL ranges</w:t>
      </w:r>
      <w:r w:rsidR="00933F44">
        <w:rPr>
          <w:sz w:val="24"/>
        </w:rPr>
        <w:t>;</w:t>
      </w:r>
      <w:r w:rsidR="001730EF">
        <w:rPr>
          <w:sz w:val="24"/>
        </w:rPr>
        <w:t xml:space="preserve"> peculiarities of some products/processes may not be taken into account</w:t>
      </w:r>
      <w:r w:rsidR="00933F44">
        <w:rPr>
          <w:sz w:val="24"/>
        </w:rPr>
        <w:t>;</w:t>
      </w:r>
      <w:r w:rsidR="001730EF">
        <w:rPr>
          <w:sz w:val="24"/>
        </w:rPr>
        <w:t xml:space="preserve"> </w:t>
      </w:r>
      <w:r w:rsidR="00A83765">
        <w:rPr>
          <w:sz w:val="24"/>
        </w:rPr>
        <w:t xml:space="preserve">difficulties for implementation in </w:t>
      </w:r>
      <w:r w:rsidR="0064015C">
        <w:rPr>
          <w:sz w:val="24"/>
        </w:rPr>
        <w:t xml:space="preserve">the </w:t>
      </w:r>
      <w:r w:rsidR="001730EF">
        <w:rPr>
          <w:sz w:val="24"/>
        </w:rPr>
        <w:t>p</w:t>
      </w:r>
      <w:r w:rsidR="001730EF" w:rsidRPr="001730EF">
        <w:rPr>
          <w:sz w:val="24"/>
        </w:rPr>
        <w:t>ermitting process</w:t>
      </w:r>
      <w:r w:rsidR="00933F44">
        <w:rPr>
          <w:sz w:val="24"/>
        </w:rPr>
        <w:t>;</w:t>
      </w:r>
      <w:r w:rsidR="001730EF">
        <w:rPr>
          <w:sz w:val="24"/>
        </w:rPr>
        <w:t xml:space="preserve"> s</w:t>
      </w:r>
      <w:r w:rsidR="001730EF" w:rsidRPr="001730EF">
        <w:rPr>
          <w:sz w:val="24"/>
        </w:rPr>
        <w:t xml:space="preserve">hift of focus </w:t>
      </w:r>
      <w:r w:rsidR="007722F6">
        <w:rPr>
          <w:sz w:val="24"/>
        </w:rPr>
        <w:t xml:space="preserve">away from pollution prevention </w:t>
      </w:r>
      <w:r w:rsidR="001730EF" w:rsidRPr="001730EF">
        <w:rPr>
          <w:sz w:val="24"/>
        </w:rPr>
        <w:t>to end-of-pipe techniques</w:t>
      </w:r>
      <w:r w:rsidR="001730EF">
        <w:rPr>
          <w:sz w:val="24"/>
        </w:rPr>
        <w:t xml:space="preserve">), </w:t>
      </w:r>
      <w:r w:rsidR="007722F6">
        <w:rPr>
          <w:sz w:val="24"/>
        </w:rPr>
        <w:t xml:space="preserve">will need to </w:t>
      </w:r>
      <w:r w:rsidR="00697210">
        <w:rPr>
          <w:sz w:val="24"/>
        </w:rPr>
        <w:t>be addressed</w:t>
      </w:r>
      <w:r w:rsidR="00A83765">
        <w:rPr>
          <w:sz w:val="24"/>
        </w:rPr>
        <w:t>.</w:t>
      </w:r>
    </w:p>
    <w:p w14:paraId="13DDA0EF" w14:textId="7CC6D157" w:rsidR="00BD087B" w:rsidRDefault="00A83765" w:rsidP="008D1416">
      <w:pPr>
        <w:spacing w:after="240"/>
        <w:rPr>
          <w:sz w:val="24"/>
        </w:rPr>
      </w:pPr>
      <w:r>
        <w:rPr>
          <w:sz w:val="24"/>
        </w:rPr>
        <w:t>Therefore,</w:t>
      </w:r>
      <w:r w:rsidR="007722F6">
        <w:rPr>
          <w:sz w:val="24"/>
        </w:rPr>
        <w:t xml:space="preserve"> </w:t>
      </w:r>
      <w:r w:rsidR="001730EF">
        <w:rPr>
          <w:sz w:val="24"/>
        </w:rPr>
        <w:t xml:space="preserve">the </w:t>
      </w:r>
      <w:r w:rsidR="00406577">
        <w:rPr>
          <w:sz w:val="24"/>
        </w:rPr>
        <w:t xml:space="preserve">drawing up of the WGC BREF will </w:t>
      </w:r>
      <w:r>
        <w:rPr>
          <w:sz w:val="24"/>
        </w:rPr>
        <w:t>involve</w:t>
      </w:r>
      <w:r w:rsidR="00BD087B">
        <w:rPr>
          <w:sz w:val="24"/>
        </w:rPr>
        <w:t>:</w:t>
      </w:r>
    </w:p>
    <w:p w14:paraId="13DDA0F0" w14:textId="036A6DF8" w:rsidR="00BD087B" w:rsidRPr="00BD087B" w:rsidRDefault="00A83765" w:rsidP="00AC3107">
      <w:pPr>
        <w:numPr>
          <w:ilvl w:val="0"/>
          <w:numId w:val="34"/>
        </w:numPr>
        <w:spacing w:after="240"/>
        <w:rPr>
          <w:sz w:val="24"/>
        </w:rPr>
      </w:pPr>
      <w:r>
        <w:rPr>
          <w:sz w:val="24"/>
        </w:rPr>
        <w:t xml:space="preserve">collecting </w:t>
      </w:r>
      <w:r w:rsidR="00BD087B" w:rsidRPr="00BD087B">
        <w:rPr>
          <w:sz w:val="24"/>
        </w:rPr>
        <w:t xml:space="preserve">comprehensive </w:t>
      </w:r>
      <w:r>
        <w:rPr>
          <w:sz w:val="24"/>
        </w:rPr>
        <w:t xml:space="preserve">and representative </w:t>
      </w:r>
      <w:r w:rsidR="003C45DF">
        <w:rPr>
          <w:sz w:val="24"/>
        </w:rPr>
        <w:t xml:space="preserve">information and </w:t>
      </w:r>
      <w:r w:rsidR="00BD087B" w:rsidRPr="00BD087B">
        <w:rPr>
          <w:sz w:val="24"/>
        </w:rPr>
        <w:t>data on abatement techniques and emission</w:t>
      </w:r>
      <w:r w:rsidR="00BD087B">
        <w:rPr>
          <w:sz w:val="24"/>
        </w:rPr>
        <w:t xml:space="preserve"> </w:t>
      </w:r>
      <w:r w:rsidR="00BD087B" w:rsidRPr="00BD087B">
        <w:rPr>
          <w:sz w:val="24"/>
        </w:rPr>
        <w:t xml:space="preserve">levels </w:t>
      </w:r>
      <w:r>
        <w:rPr>
          <w:sz w:val="24"/>
        </w:rPr>
        <w:t>across</w:t>
      </w:r>
      <w:r w:rsidR="00BD087B" w:rsidRPr="00BD087B">
        <w:rPr>
          <w:sz w:val="24"/>
        </w:rPr>
        <w:t xml:space="preserve"> the whole chemical</w:t>
      </w:r>
      <w:r w:rsidR="00BD087B">
        <w:rPr>
          <w:sz w:val="24"/>
        </w:rPr>
        <w:t xml:space="preserve"> </w:t>
      </w:r>
      <w:r w:rsidR="00BD087B" w:rsidRPr="00BD087B">
        <w:rPr>
          <w:sz w:val="24"/>
        </w:rPr>
        <w:t>industry</w:t>
      </w:r>
      <w:r w:rsidR="00406577">
        <w:rPr>
          <w:sz w:val="24"/>
        </w:rPr>
        <w:t>;</w:t>
      </w:r>
    </w:p>
    <w:p w14:paraId="13DDA0F2" w14:textId="21DA4EAD" w:rsidR="00BD087B" w:rsidRPr="00BD087B" w:rsidRDefault="00A83765" w:rsidP="00AC3107">
      <w:pPr>
        <w:numPr>
          <w:ilvl w:val="0"/>
          <w:numId w:val="34"/>
        </w:numPr>
        <w:spacing w:after="240"/>
        <w:rPr>
          <w:sz w:val="24"/>
        </w:rPr>
      </w:pPr>
      <w:r>
        <w:rPr>
          <w:sz w:val="24"/>
        </w:rPr>
        <w:t>c</w:t>
      </w:r>
      <w:r w:rsidR="00BD087B" w:rsidRPr="00BD087B">
        <w:rPr>
          <w:sz w:val="24"/>
        </w:rPr>
        <w:t>ollectin</w:t>
      </w:r>
      <w:r>
        <w:rPr>
          <w:sz w:val="24"/>
        </w:rPr>
        <w:t>g</w:t>
      </w:r>
      <w:r w:rsidR="00BD087B" w:rsidRPr="00BD087B">
        <w:rPr>
          <w:sz w:val="24"/>
        </w:rPr>
        <w:t xml:space="preserve"> </w:t>
      </w:r>
      <w:r w:rsidR="003C45DF">
        <w:rPr>
          <w:sz w:val="24"/>
        </w:rPr>
        <w:t xml:space="preserve">information and </w:t>
      </w:r>
      <w:r w:rsidR="00BD087B" w:rsidRPr="00BD087B">
        <w:rPr>
          <w:sz w:val="24"/>
        </w:rPr>
        <w:t>data from specific products/processes that</w:t>
      </w:r>
      <w:r w:rsidR="00BD087B">
        <w:rPr>
          <w:sz w:val="24"/>
        </w:rPr>
        <w:t xml:space="preserve"> </w:t>
      </w:r>
      <w:r w:rsidR="00BD087B" w:rsidRPr="00BD087B">
        <w:rPr>
          <w:sz w:val="24"/>
        </w:rPr>
        <w:t xml:space="preserve">might require a dedicated approach (e.g. by </w:t>
      </w:r>
      <w:r>
        <w:rPr>
          <w:sz w:val="24"/>
        </w:rPr>
        <w:t>relying on</w:t>
      </w:r>
      <w:r w:rsidR="00BD087B" w:rsidRPr="00BD087B">
        <w:rPr>
          <w:sz w:val="24"/>
        </w:rPr>
        <w:t xml:space="preserve"> current BREF</w:t>
      </w:r>
      <w:r>
        <w:rPr>
          <w:sz w:val="24"/>
        </w:rPr>
        <w:t>s</w:t>
      </w:r>
      <w:r w:rsidR="00BD087B" w:rsidRPr="00BD087B">
        <w:rPr>
          <w:sz w:val="24"/>
        </w:rPr>
        <w:t xml:space="preserve"> or M</w:t>
      </w:r>
      <w:r w:rsidR="003C45DF">
        <w:rPr>
          <w:sz w:val="24"/>
        </w:rPr>
        <w:t xml:space="preserve">ember </w:t>
      </w:r>
      <w:r w:rsidR="00BD087B" w:rsidRPr="00BD087B">
        <w:rPr>
          <w:sz w:val="24"/>
        </w:rPr>
        <w:t>S</w:t>
      </w:r>
      <w:r w:rsidR="003C45DF">
        <w:rPr>
          <w:sz w:val="24"/>
        </w:rPr>
        <w:t>tate</w:t>
      </w:r>
      <w:r w:rsidR="00563E46">
        <w:rPr>
          <w:sz w:val="24"/>
        </w:rPr>
        <w:t>s'</w:t>
      </w:r>
      <w:r w:rsidR="00BD087B" w:rsidRPr="00BD087B">
        <w:rPr>
          <w:sz w:val="24"/>
        </w:rPr>
        <w:t xml:space="preserve"> legislation</w:t>
      </w:r>
      <w:r w:rsidR="00697210">
        <w:rPr>
          <w:sz w:val="24"/>
        </w:rPr>
        <w:t>)</w:t>
      </w:r>
      <w:r w:rsidR="00406577">
        <w:rPr>
          <w:sz w:val="24"/>
        </w:rPr>
        <w:t>;</w:t>
      </w:r>
    </w:p>
    <w:p w14:paraId="13DDA0F3" w14:textId="3AB7B1A6" w:rsidR="00BD087B" w:rsidRPr="00BD087B" w:rsidRDefault="00BD087B" w:rsidP="00AC3107">
      <w:pPr>
        <w:numPr>
          <w:ilvl w:val="0"/>
          <w:numId w:val="34"/>
        </w:numPr>
        <w:spacing w:after="240"/>
        <w:rPr>
          <w:sz w:val="24"/>
        </w:rPr>
      </w:pPr>
      <w:r w:rsidRPr="00BD087B">
        <w:rPr>
          <w:sz w:val="24"/>
        </w:rPr>
        <w:t>a thorough analysis</w:t>
      </w:r>
      <w:r w:rsidR="003C45DF">
        <w:rPr>
          <w:sz w:val="24"/>
        </w:rPr>
        <w:t xml:space="preserve"> of the information and data collected</w:t>
      </w:r>
      <w:r w:rsidR="00406577">
        <w:rPr>
          <w:sz w:val="24"/>
        </w:rPr>
        <w:t>;</w:t>
      </w:r>
    </w:p>
    <w:p w14:paraId="13DDA0F4" w14:textId="7E2C9E0A" w:rsidR="00BD087B" w:rsidRPr="00BD087B" w:rsidRDefault="0064015C" w:rsidP="00AC3107">
      <w:pPr>
        <w:numPr>
          <w:ilvl w:val="0"/>
          <w:numId w:val="34"/>
        </w:numPr>
        <w:spacing w:after="240"/>
        <w:rPr>
          <w:sz w:val="24"/>
        </w:rPr>
      </w:pPr>
      <w:r>
        <w:rPr>
          <w:sz w:val="24"/>
        </w:rPr>
        <w:t xml:space="preserve">the </w:t>
      </w:r>
      <w:r w:rsidR="00406577">
        <w:rPr>
          <w:sz w:val="24"/>
        </w:rPr>
        <w:t>d</w:t>
      </w:r>
      <w:r w:rsidR="00BD087B" w:rsidRPr="00BD087B">
        <w:rPr>
          <w:sz w:val="24"/>
        </w:rPr>
        <w:t>efin</w:t>
      </w:r>
      <w:r>
        <w:rPr>
          <w:sz w:val="24"/>
        </w:rPr>
        <w:t>ition of</w:t>
      </w:r>
      <w:r w:rsidR="00BD087B" w:rsidRPr="00BD087B">
        <w:rPr>
          <w:sz w:val="24"/>
        </w:rPr>
        <w:t xml:space="preserve"> generic BAT</w:t>
      </w:r>
      <w:r w:rsidR="00BA617B">
        <w:rPr>
          <w:sz w:val="24"/>
        </w:rPr>
        <w:t xml:space="preserve"> and BAT</w:t>
      </w:r>
      <w:r w:rsidR="00BD087B" w:rsidRPr="00BD087B">
        <w:rPr>
          <w:sz w:val="24"/>
        </w:rPr>
        <w:t>-AELs for emissions to air for the whole</w:t>
      </w:r>
      <w:r w:rsidR="00BD087B">
        <w:rPr>
          <w:sz w:val="24"/>
        </w:rPr>
        <w:t xml:space="preserve"> </w:t>
      </w:r>
      <w:r w:rsidR="00BD087B" w:rsidRPr="00BD087B">
        <w:rPr>
          <w:sz w:val="24"/>
        </w:rPr>
        <w:t>chemical industry</w:t>
      </w:r>
      <w:r w:rsidR="00BA617B">
        <w:rPr>
          <w:sz w:val="24"/>
        </w:rPr>
        <w:t>, while identifying processes requiring further specific consideration.</w:t>
      </w:r>
    </w:p>
    <w:p w14:paraId="13DDA0F6" w14:textId="331CC9A8" w:rsidR="00406577" w:rsidRPr="004E061B" w:rsidRDefault="00BA617B" w:rsidP="00BA617B">
      <w:pPr>
        <w:spacing w:after="240"/>
        <w:rPr>
          <w:sz w:val="24"/>
        </w:rPr>
      </w:pPr>
      <w:r>
        <w:rPr>
          <w:sz w:val="24"/>
        </w:rPr>
        <w:t>T</w:t>
      </w:r>
      <w:r w:rsidR="001E523C">
        <w:rPr>
          <w:sz w:val="24"/>
        </w:rPr>
        <w:t>he start of the review of the other chemical BREFs will be postponed. Once the drawing up of the W</w:t>
      </w:r>
      <w:r w:rsidR="00D724F7">
        <w:rPr>
          <w:sz w:val="24"/>
        </w:rPr>
        <w:t>G</w:t>
      </w:r>
      <w:r w:rsidR="001E523C">
        <w:rPr>
          <w:sz w:val="24"/>
        </w:rPr>
        <w:t xml:space="preserve">C BREF is at a sufficiently advanced stage, it will be decided which </w:t>
      </w:r>
      <w:r w:rsidR="009215EF">
        <w:rPr>
          <w:sz w:val="24"/>
        </w:rPr>
        <w:t xml:space="preserve">chemical </w:t>
      </w:r>
      <w:r w:rsidR="001E523C" w:rsidRPr="001E523C">
        <w:rPr>
          <w:sz w:val="24"/>
        </w:rPr>
        <w:t xml:space="preserve">products/processes/subsectors </w:t>
      </w:r>
      <w:r w:rsidR="001E523C">
        <w:rPr>
          <w:sz w:val="24"/>
        </w:rPr>
        <w:t xml:space="preserve">would need to be addressed in other </w:t>
      </w:r>
      <w:r>
        <w:rPr>
          <w:sz w:val="24"/>
        </w:rPr>
        <w:t xml:space="preserve">separate </w:t>
      </w:r>
      <w:r w:rsidR="001E523C">
        <w:rPr>
          <w:sz w:val="24"/>
        </w:rPr>
        <w:t>BREF</w:t>
      </w:r>
      <w:r w:rsidR="00697210">
        <w:rPr>
          <w:sz w:val="24"/>
        </w:rPr>
        <w:t>(</w:t>
      </w:r>
      <w:r w:rsidR="001E523C">
        <w:rPr>
          <w:sz w:val="24"/>
        </w:rPr>
        <w:t>s</w:t>
      </w:r>
      <w:r w:rsidR="00697210">
        <w:rPr>
          <w:sz w:val="24"/>
        </w:rPr>
        <w:t>)</w:t>
      </w:r>
      <w:r>
        <w:rPr>
          <w:sz w:val="24"/>
        </w:rPr>
        <w:t>, taking into consideration</w:t>
      </w:r>
      <w:r w:rsidR="001E523C">
        <w:rPr>
          <w:sz w:val="24"/>
        </w:rPr>
        <w:t xml:space="preserve"> factors such as the number of installations </w:t>
      </w:r>
      <w:r w:rsidR="009215EF">
        <w:rPr>
          <w:sz w:val="24"/>
        </w:rPr>
        <w:t xml:space="preserve">in the EU </w:t>
      </w:r>
      <w:r w:rsidR="001E523C">
        <w:rPr>
          <w:sz w:val="24"/>
        </w:rPr>
        <w:t>and the</w:t>
      </w:r>
      <w:r w:rsidR="009215EF">
        <w:rPr>
          <w:sz w:val="24"/>
        </w:rPr>
        <w:t xml:space="preserve"> magnitude </w:t>
      </w:r>
      <w:r w:rsidR="009215EF" w:rsidRPr="004E061B">
        <w:rPr>
          <w:sz w:val="24"/>
        </w:rPr>
        <w:t>of their</w:t>
      </w:r>
      <w:r w:rsidR="001E523C" w:rsidRPr="004E061B">
        <w:rPr>
          <w:sz w:val="24"/>
        </w:rPr>
        <w:t xml:space="preserve"> </w:t>
      </w:r>
      <w:r w:rsidR="009215EF" w:rsidRPr="004E061B">
        <w:rPr>
          <w:sz w:val="24"/>
        </w:rPr>
        <w:t xml:space="preserve">emissions to the </w:t>
      </w:r>
      <w:r w:rsidR="001E523C" w:rsidRPr="004E061B">
        <w:rPr>
          <w:sz w:val="24"/>
        </w:rPr>
        <w:t>environment</w:t>
      </w:r>
      <w:r w:rsidR="0075578A">
        <w:rPr>
          <w:sz w:val="24"/>
        </w:rPr>
        <w:t>.</w:t>
      </w:r>
    </w:p>
    <w:p w14:paraId="5CB4C640" w14:textId="323F2188" w:rsidR="00BA617B" w:rsidRDefault="00BA617B" w:rsidP="00AC3107">
      <w:pPr>
        <w:spacing w:after="240"/>
        <w:rPr>
          <w:sz w:val="24"/>
        </w:rPr>
      </w:pPr>
      <w:r>
        <w:rPr>
          <w:sz w:val="24"/>
        </w:rPr>
        <w:t>T</w:t>
      </w:r>
      <w:r w:rsidR="00697210">
        <w:rPr>
          <w:sz w:val="24"/>
        </w:rPr>
        <w:t>he LVOC BREF review</w:t>
      </w:r>
      <w:r w:rsidR="00F22D89" w:rsidRPr="004E061B">
        <w:rPr>
          <w:sz w:val="24"/>
        </w:rPr>
        <w:t xml:space="preserve"> </w:t>
      </w:r>
      <w:r>
        <w:rPr>
          <w:sz w:val="24"/>
        </w:rPr>
        <w:t>which is a</w:t>
      </w:r>
      <w:r w:rsidR="00697210">
        <w:rPr>
          <w:sz w:val="24"/>
        </w:rPr>
        <w:t>lready at a very advanced stage</w:t>
      </w:r>
      <w:r>
        <w:rPr>
          <w:sz w:val="24"/>
        </w:rPr>
        <w:t xml:space="preserve"> will</w:t>
      </w:r>
      <w:r w:rsidR="0064015C">
        <w:rPr>
          <w:sz w:val="24"/>
        </w:rPr>
        <w:t xml:space="preserve"> be finalised</w:t>
      </w:r>
      <w:r w:rsidR="00F22D89" w:rsidRPr="004E061B">
        <w:rPr>
          <w:sz w:val="24"/>
        </w:rPr>
        <w:t xml:space="preserve"> as soon as possible</w:t>
      </w:r>
      <w:r>
        <w:rPr>
          <w:sz w:val="24"/>
        </w:rPr>
        <w:t xml:space="preserve">, while fully applying </w:t>
      </w:r>
      <w:r w:rsidR="00F22D89" w:rsidRPr="004E061B">
        <w:rPr>
          <w:sz w:val="24"/>
        </w:rPr>
        <w:t xml:space="preserve">the principle of 'generic BAT if possible'. </w:t>
      </w:r>
      <w:r>
        <w:rPr>
          <w:sz w:val="24"/>
        </w:rPr>
        <w:t>This means that o</w:t>
      </w:r>
      <w:r w:rsidR="00F22D89" w:rsidRPr="004E061B">
        <w:rPr>
          <w:sz w:val="24"/>
        </w:rPr>
        <w:t xml:space="preserve">nly specific aspects should be dealt with in the illustrative process sections. </w:t>
      </w:r>
    </w:p>
    <w:p w14:paraId="2AC2119B" w14:textId="0C8D34E6" w:rsidR="00F22D89" w:rsidRDefault="00F22D89" w:rsidP="00AC3107">
      <w:pPr>
        <w:spacing w:after="240"/>
        <w:rPr>
          <w:sz w:val="24"/>
        </w:rPr>
      </w:pPr>
      <w:r w:rsidRPr="004E061B">
        <w:rPr>
          <w:sz w:val="24"/>
        </w:rPr>
        <w:t xml:space="preserve">The WGC BREF </w:t>
      </w:r>
      <w:r w:rsidR="00697210">
        <w:rPr>
          <w:sz w:val="24"/>
        </w:rPr>
        <w:t>will</w:t>
      </w:r>
      <w:r w:rsidRPr="004E061B">
        <w:rPr>
          <w:sz w:val="24"/>
        </w:rPr>
        <w:t xml:space="preserve"> take into account the outcome</w:t>
      </w:r>
      <w:r w:rsidR="00697210">
        <w:rPr>
          <w:sz w:val="24"/>
        </w:rPr>
        <w:t>s</w:t>
      </w:r>
      <w:r w:rsidRPr="004E061B">
        <w:rPr>
          <w:sz w:val="24"/>
        </w:rPr>
        <w:t xml:space="preserve"> of the LVOC</w:t>
      </w:r>
      <w:r w:rsidR="00697210">
        <w:rPr>
          <w:sz w:val="24"/>
        </w:rPr>
        <w:t>, CWW, and CAK</w:t>
      </w:r>
      <w:r w:rsidRPr="004E061B">
        <w:rPr>
          <w:sz w:val="24"/>
        </w:rPr>
        <w:t xml:space="preserve"> BREF reviews.</w:t>
      </w:r>
    </w:p>
    <w:p w14:paraId="13DDA0F8" w14:textId="699F7675" w:rsidR="00260BA8" w:rsidRPr="00AC3107" w:rsidRDefault="00260BA8" w:rsidP="00995D11">
      <w:pPr>
        <w:pStyle w:val="Heading1"/>
        <w:spacing w:before="240" w:after="240"/>
        <w:jc w:val="both"/>
      </w:pPr>
      <w:r>
        <w:t xml:space="preserve">Possible </w:t>
      </w:r>
      <w:r w:rsidR="00E47642">
        <w:t>development of a 'Resource Efficiency' BREF</w:t>
      </w:r>
    </w:p>
    <w:p w14:paraId="52383664" w14:textId="18050B53" w:rsidR="00753A91" w:rsidRDefault="00260BA8" w:rsidP="00260BA8">
      <w:pPr>
        <w:spacing w:after="240"/>
        <w:rPr>
          <w:sz w:val="24"/>
        </w:rPr>
      </w:pPr>
      <w:r w:rsidRPr="00AC3107">
        <w:rPr>
          <w:sz w:val="24"/>
        </w:rPr>
        <w:t xml:space="preserve">The Commission assessed the merits of </w:t>
      </w:r>
      <w:r w:rsidR="007A68AE">
        <w:rPr>
          <w:sz w:val="24"/>
        </w:rPr>
        <w:t>turning</w:t>
      </w:r>
      <w:r w:rsidR="00ED34BD" w:rsidRPr="00AC3107">
        <w:rPr>
          <w:sz w:val="24"/>
        </w:rPr>
        <w:t xml:space="preserve"> </w:t>
      </w:r>
      <w:r w:rsidRPr="00AC3107">
        <w:rPr>
          <w:sz w:val="24"/>
        </w:rPr>
        <w:t xml:space="preserve">the </w:t>
      </w:r>
      <w:r w:rsidR="007A68AE">
        <w:rPr>
          <w:sz w:val="24"/>
        </w:rPr>
        <w:t xml:space="preserve">existing </w:t>
      </w:r>
      <w:r w:rsidRPr="00AC3107">
        <w:rPr>
          <w:sz w:val="24"/>
        </w:rPr>
        <w:t xml:space="preserve">BREFs on Energy Efficiency (ENE) and Industrial Cooling Systems (ICS) </w:t>
      </w:r>
      <w:r w:rsidR="007A68AE">
        <w:rPr>
          <w:sz w:val="24"/>
        </w:rPr>
        <w:t>into</w:t>
      </w:r>
      <w:r w:rsidR="00E47642" w:rsidRPr="00AC3107">
        <w:rPr>
          <w:sz w:val="24"/>
        </w:rPr>
        <w:t xml:space="preserve"> </w:t>
      </w:r>
      <w:r w:rsidRPr="00AC3107">
        <w:rPr>
          <w:sz w:val="24"/>
        </w:rPr>
        <w:t xml:space="preserve">a </w:t>
      </w:r>
      <w:r w:rsidR="00E47642" w:rsidRPr="00AC3107">
        <w:rPr>
          <w:sz w:val="24"/>
        </w:rPr>
        <w:t xml:space="preserve">BREF </w:t>
      </w:r>
      <w:r w:rsidR="00E47642">
        <w:rPr>
          <w:sz w:val="24"/>
        </w:rPr>
        <w:t xml:space="preserve">on </w:t>
      </w:r>
      <w:r w:rsidR="00326285">
        <w:rPr>
          <w:sz w:val="24"/>
        </w:rPr>
        <w:t>'</w:t>
      </w:r>
      <w:r w:rsidRPr="00AC3107">
        <w:rPr>
          <w:sz w:val="24"/>
        </w:rPr>
        <w:t>Resource Efficiency</w:t>
      </w:r>
      <w:r w:rsidR="00326285">
        <w:rPr>
          <w:sz w:val="24"/>
        </w:rPr>
        <w:t>'</w:t>
      </w:r>
      <w:r w:rsidR="007A68AE">
        <w:rPr>
          <w:sz w:val="24"/>
        </w:rPr>
        <w:t xml:space="preserve"> by merging </w:t>
      </w:r>
      <w:r w:rsidR="003C08BF">
        <w:rPr>
          <w:sz w:val="24"/>
        </w:rPr>
        <w:t>and revising the two documents</w:t>
      </w:r>
      <w:r w:rsidR="007A68AE">
        <w:rPr>
          <w:sz w:val="24"/>
        </w:rPr>
        <w:t xml:space="preserve"> </w:t>
      </w:r>
      <w:r w:rsidR="003C08BF">
        <w:rPr>
          <w:sz w:val="24"/>
        </w:rPr>
        <w:t>while</w:t>
      </w:r>
      <w:r w:rsidR="007A68AE">
        <w:rPr>
          <w:sz w:val="24"/>
        </w:rPr>
        <w:t xml:space="preserve"> expanding the scope to cover</w:t>
      </w:r>
      <w:r w:rsidRPr="00AC3107">
        <w:rPr>
          <w:sz w:val="24"/>
        </w:rPr>
        <w:t xml:space="preserve"> the use of raw materials and water.</w:t>
      </w:r>
    </w:p>
    <w:p w14:paraId="504FEA5D" w14:textId="21D6C85A" w:rsidR="00506A62" w:rsidRPr="009C2E2F" w:rsidRDefault="00B5711C" w:rsidP="00506A62">
      <w:pPr>
        <w:spacing w:after="240"/>
        <w:rPr>
          <w:sz w:val="24"/>
        </w:rPr>
      </w:pPr>
      <w:r>
        <w:rPr>
          <w:sz w:val="24"/>
        </w:rPr>
        <w:lastRenderedPageBreak/>
        <w:t>It is clear</w:t>
      </w:r>
      <w:r w:rsidR="005E1B16">
        <w:rPr>
          <w:sz w:val="24"/>
        </w:rPr>
        <w:t xml:space="preserve"> </w:t>
      </w:r>
      <w:r w:rsidR="00AE78DC">
        <w:rPr>
          <w:sz w:val="24"/>
        </w:rPr>
        <w:t xml:space="preserve">that </w:t>
      </w:r>
      <w:r w:rsidR="00523C3D">
        <w:rPr>
          <w:sz w:val="24"/>
        </w:rPr>
        <w:t xml:space="preserve">there are </w:t>
      </w:r>
      <w:r w:rsidR="00AE78DC">
        <w:rPr>
          <w:sz w:val="24"/>
        </w:rPr>
        <w:t xml:space="preserve">synergies between </w:t>
      </w:r>
      <w:r w:rsidR="007A68AE">
        <w:rPr>
          <w:sz w:val="24"/>
        </w:rPr>
        <w:t xml:space="preserve">the </w:t>
      </w:r>
      <w:r w:rsidR="00AE78DC">
        <w:rPr>
          <w:sz w:val="24"/>
        </w:rPr>
        <w:t xml:space="preserve">two </w:t>
      </w:r>
      <w:r w:rsidR="007A68AE">
        <w:rPr>
          <w:sz w:val="24"/>
        </w:rPr>
        <w:t xml:space="preserve">existing BREFs </w:t>
      </w:r>
      <w:r w:rsidR="00AE78DC">
        <w:rPr>
          <w:sz w:val="24"/>
        </w:rPr>
        <w:t xml:space="preserve">as energy efficiency is very </w:t>
      </w:r>
      <w:r w:rsidR="00AE78DC" w:rsidRPr="009C2E2F">
        <w:rPr>
          <w:sz w:val="24"/>
        </w:rPr>
        <w:t>closely linked with heat management and</w:t>
      </w:r>
      <w:r w:rsidR="009C2E2F" w:rsidRPr="009C2E2F">
        <w:rPr>
          <w:sz w:val="24"/>
        </w:rPr>
        <w:t>,</w:t>
      </w:r>
      <w:r w:rsidR="00AE78DC" w:rsidRPr="009C2E2F">
        <w:rPr>
          <w:sz w:val="24"/>
        </w:rPr>
        <w:t xml:space="preserve"> therefore</w:t>
      </w:r>
      <w:r w:rsidR="00523C3D" w:rsidRPr="009C2E2F">
        <w:rPr>
          <w:sz w:val="24"/>
        </w:rPr>
        <w:t>,</w:t>
      </w:r>
      <w:r w:rsidR="00AE78DC" w:rsidRPr="009C2E2F">
        <w:rPr>
          <w:sz w:val="24"/>
        </w:rPr>
        <w:t xml:space="preserve"> with an optimal cooling system.</w:t>
      </w:r>
    </w:p>
    <w:p w14:paraId="0AB603F0" w14:textId="35620A82" w:rsidR="007A68AE" w:rsidRPr="004A44E3" w:rsidRDefault="002B4255" w:rsidP="00506A62">
      <w:pPr>
        <w:spacing w:after="240"/>
        <w:rPr>
          <w:sz w:val="24"/>
        </w:rPr>
      </w:pPr>
      <w:r w:rsidRPr="009C2E2F">
        <w:rPr>
          <w:sz w:val="24"/>
        </w:rPr>
        <w:t>Moreover, the development of a</w:t>
      </w:r>
      <w:r w:rsidR="007A68AE" w:rsidRPr="009C2E2F">
        <w:rPr>
          <w:sz w:val="24"/>
        </w:rPr>
        <w:t xml:space="preserve"> BREF </w:t>
      </w:r>
      <w:r w:rsidRPr="009C2E2F">
        <w:rPr>
          <w:sz w:val="24"/>
        </w:rPr>
        <w:t xml:space="preserve">covering </w:t>
      </w:r>
      <w:r w:rsidR="003C08BF" w:rsidRPr="009C2E2F">
        <w:rPr>
          <w:sz w:val="24"/>
        </w:rPr>
        <w:t>wider</w:t>
      </w:r>
      <w:r w:rsidRPr="009C2E2F">
        <w:rPr>
          <w:sz w:val="24"/>
        </w:rPr>
        <w:t xml:space="preserve"> issues related to </w:t>
      </w:r>
      <w:r w:rsidR="003C08BF" w:rsidRPr="009C2E2F">
        <w:rPr>
          <w:sz w:val="24"/>
        </w:rPr>
        <w:t>a more efficient</w:t>
      </w:r>
      <w:r w:rsidRPr="009C2E2F">
        <w:rPr>
          <w:sz w:val="24"/>
        </w:rPr>
        <w:t xml:space="preserve"> use of resources (raw materials, energy, water) </w:t>
      </w:r>
      <w:r w:rsidR="003C08BF" w:rsidRPr="009C2E2F">
        <w:rPr>
          <w:sz w:val="24"/>
        </w:rPr>
        <w:t xml:space="preserve">in manufacturing processes </w:t>
      </w:r>
      <w:r w:rsidRPr="009C2E2F">
        <w:rPr>
          <w:sz w:val="24"/>
        </w:rPr>
        <w:t>is one element currently considered in the preparation of the Commission's new Circular Economy package.</w:t>
      </w:r>
      <w:r w:rsidR="007A68AE">
        <w:rPr>
          <w:sz w:val="24"/>
        </w:rPr>
        <w:t xml:space="preserve"> </w:t>
      </w:r>
      <w:r w:rsidR="00D02741">
        <w:rPr>
          <w:sz w:val="24"/>
        </w:rPr>
        <w:t xml:space="preserve">The work on such a BREF should therefore </w:t>
      </w:r>
      <w:r w:rsidR="00D02741" w:rsidRPr="009C2E2F">
        <w:rPr>
          <w:sz w:val="24"/>
        </w:rPr>
        <w:t xml:space="preserve">be aligned with </w:t>
      </w:r>
      <w:r w:rsidR="00D02741">
        <w:rPr>
          <w:sz w:val="24"/>
        </w:rPr>
        <w:t xml:space="preserve">the </w:t>
      </w:r>
      <w:r w:rsidR="00D02741" w:rsidRPr="009C2E2F">
        <w:rPr>
          <w:sz w:val="24"/>
        </w:rPr>
        <w:t xml:space="preserve">Circular Economy Package </w:t>
      </w:r>
      <w:r w:rsidR="00D02741">
        <w:rPr>
          <w:sz w:val="24"/>
        </w:rPr>
        <w:t>in terms of its t</w:t>
      </w:r>
      <w:r w:rsidR="00D02741" w:rsidRPr="009C2E2F">
        <w:rPr>
          <w:sz w:val="24"/>
        </w:rPr>
        <w:t>iming and content.</w:t>
      </w:r>
      <w:r w:rsidR="00D02741" w:rsidRPr="00D02741">
        <w:rPr>
          <w:sz w:val="24"/>
        </w:rPr>
        <w:t xml:space="preserve"> </w:t>
      </w:r>
    </w:p>
    <w:p w14:paraId="3667097D" w14:textId="278D0002" w:rsidR="00AE78DC" w:rsidRDefault="007A68AE" w:rsidP="00260BA8">
      <w:pPr>
        <w:spacing w:after="240"/>
        <w:rPr>
          <w:sz w:val="24"/>
        </w:rPr>
      </w:pPr>
      <w:r>
        <w:rPr>
          <w:sz w:val="24"/>
        </w:rPr>
        <w:t>T</w:t>
      </w:r>
      <w:r w:rsidR="00AE78DC">
        <w:rPr>
          <w:sz w:val="24"/>
        </w:rPr>
        <w:t xml:space="preserve">he Commission </w:t>
      </w:r>
      <w:r>
        <w:rPr>
          <w:sz w:val="24"/>
        </w:rPr>
        <w:t>sees the following</w:t>
      </w:r>
      <w:r w:rsidR="00AE78DC">
        <w:rPr>
          <w:sz w:val="24"/>
        </w:rPr>
        <w:t xml:space="preserve"> </w:t>
      </w:r>
      <w:r w:rsidR="007769DD">
        <w:rPr>
          <w:sz w:val="24"/>
        </w:rPr>
        <w:t xml:space="preserve">advantages and </w:t>
      </w:r>
      <w:r w:rsidR="009C2E2F">
        <w:rPr>
          <w:sz w:val="24"/>
        </w:rPr>
        <w:t>challenges</w:t>
      </w:r>
      <w:r w:rsidR="003C08BF">
        <w:rPr>
          <w:sz w:val="24"/>
        </w:rPr>
        <w:t xml:space="preserve"> </w:t>
      </w:r>
      <w:r w:rsidR="00123F10">
        <w:rPr>
          <w:sz w:val="24"/>
        </w:rPr>
        <w:t xml:space="preserve">of </w:t>
      </w:r>
      <w:r w:rsidR="003C08BF">
        <w:rPr>
          <w:sz w:val="24"/>
        </w:rPr>
        <w:t>developing such a BREF, incorporating the existing ENE and ICS BREFs.</w:t>
      </w:r>
      <w:r w:rsidR="00625498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6"/>
      </w:tblGrid>
      <w:tr w:rsidR="00123F10" w:rsidRPr="00123F10" w14:paraId="593803D8" w14:textId="77777777" w:rsidTr="00123F10">
        <w:tc>
          <w:tcPr>
            <w:tcW w:w="4715" w:type="dxa"/>
          </w:tcPr>
          <w:p w14:paraId="4B7AC0D9" w14:textId="6C7AEEE4" w:rsidR="00123F10" w:rsidRPr="004A44E3" w:rsidRDefault="007769DD" w:rsidP="007769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716" w:type="dxa"/>
          </w:tcPr>
          <w:p w14:paraId="3F451B60" w14:textId="44371532" w:rsidR="00123F10" w:rsidRPr="004A44E3" w:rsidRDefault="009C2E2F" w:rsidP="007769DD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</w:p>
        </w:tc>
      </w:tr>
      <w:tr w:rsidR="00123F10" w:rsidRPr="009C2E2F" w14:paraId="3EF488E2" w14:textId="77777777" w:rsidTr="00123F10">
        <w:tc>
          <w:tcPr>
            <w:tcW w:w="4715" w:type="dxa"/>
          </w:tcPr>
          <w:p w14:paraId="294F7B8A" w14:textId="7EF9D1BB" w:rsidR="00123F10" w:rsidRPr="009C2E2F" w:rsidRDefault="003C08BF" w:rsidP="00123F10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>H</w:t>
            </w:r>
            <w:r w:rsidR="00123F10" w:rsidRPr="009C2E2F">
              <w:rPr>
                <w:sz w:val="24"/>
              </w:rPr>
              <w:t>elp</w:t>
            </w:r>
            <w:r w:rsidRPr="009C2E2F">
              <w:rPr>
                <w:sz w:val="24"/>
              </w:rPr>
              <w:t>s</w:t>
            </w:r>
            <w:r w:rsidR="00B24B75" w:rsidRPr="009C2E2F">
              <w:rPr>
                <w:sz w:val="24"/>
              </w:rPr>
              <w:t xml:space="preserve"> to</w:t>
            </w:r>
            <w:r w:rsidR="00123F10" w:rsidRPr="009C2E2F">
              <w:rPr>
                <w:sz w:val="24"/>
              </w:rPr>
              <w:t xml:space="preserve"> ensur</w:t>
            </w:r>
            <w:r w:rsidR="00B24B75" w:rsidRPr="009C2E2F">
              <w:rPr>
                <w:sz w:val="24"/>
              </w:rPr>
              <w:t>e</w:t>
            </w:r>
            <w:r w:rsidR="00123F10" w:rsidRPr="009C2E2F">
              <w:rPr>
                <w:sz w:val="24"/>
              </w:rPr>
              <w:t xml:space="preserve"> consistency and </w:t>
            </w:r>
            <w:r w:rsidR="00D02741">
              <w:rPr>
                <w:sz w:val="24"/>
              </w:rPr>
              <w:t>to avoid</w:t>
            </w:r>
            <w:r w:rsidR="00123F10" w:rsidRPr="009C2E2F">
              <w:rPr>
                <w:sz w:val="24"/>
              </w:rPr>
              <w:t xml:space="preserve"> repetition across </w:t>
            </w:r>
            <w:r w:rsidR="007A68AE" w:rsidRPr="009C2E2F">
              <w:rPr>
                <w:sz w:val="24"/>
              </w:rPr>
              <w:t>the sectoral</w:t>
            </w:r>
            <w:r w:rsidR="00123F10" w:rsidRPr="009C2E2F">
              <w:rPr>
                <w:sz w:val="24"/>
              </w:rPr>
              <w:t xml:space="preserve"> BREFs</w:t>
            </w:r>
            <w:r w:rsidR="00155E01" w:rsidRPr="009C2E2F">
              <w:rPr>
                <w:sz w:val="24"/>
              </w:rPr>
              <w:t xml:space="preserve"> under development</w:t>
            </w:r>
            <w:r w:rsidR="00AC7891" w:rsidRPr="009C2E2F">
              <w:rPr>
                <w:sz w:val="24"/>
              </w:rPr>
              <w:t>.</w:t>
            </w:r>
          </w:p>
          <w:p w14:paraId="50E0544E" w14:textId="34651A25" w:rsidR="00123F10" w:rsidRPr="009C2E2F" w:rsidRDefault="003C08BF" w:rsidP="00123F10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>O</w:t>
            </w:r>
            <w:r w:rsidR="00E47642" w:rsidRPr="009C2E2F">
              <w:rPr>
                <w:sz w:val="24"/>
              </w:rPr>
              <w:t>ffer</w:t>
            </w:r>
            <w:r w:rsidRPr="009C2E2F">
              <w:rPr>
                <w:sz w:val="24"/>
              </w:rPr>
              <w:t>s</w:t>
            </w:r>
            <w:r w:rsidR="00E47642" w:rsidRPr="009C2E2F">
              <w:rPr>
                <w:sz w:val="24"/>
              </w:rPr>
              <w:t xml:space="preserve"> possibilities to </w:t>
            </w:r>
            <w:r w:rsidR="00155E01" w:rsidRPr="009C2E2F">
              <w:rPr>
                <w:sz w:val="24"/>
              </w:rPr>
              <w:t xml:space="preserve">reflect </w:t>
            </w:r>
            <w:r w:rsidRPr="009C2E2F">
              <w:rPr>
                <w:sz w:val="24"/>
              </w:rPr>
              <w:t xml:space="preserve">recent </w:t>
            </w:r>
            <w:r w:rsidR="00155E01" w:rsidRPr="009C2E2F">
              <w:rPr>
                <w:sz w:val="24"/>
              </w:rPr>
              <w:t xml:space="preserve">developments </w:t>
            </w:r>
            <w:r w:rsidR="00B24B75" w:rsidRPr="009C2E2F">
              <w:rPr>
                <w:sz w:val="24"/>
              </w:rPr>
              <w:t xml:space="preserve">in </w:t>
            </w:r>
            <w:r w:rsidR="007769DD" w:rsidRPr="009C2E2F">
              <w:rPr>
                <w:sz w:val="24"/>
              </w:rPr>
              <w:t xml:space="preserve">techniques </w:t>
            </w:r>
            <w:r w:rsidR="00123F10" w:rsidRPr="009C2E2F">
              <w:rPr>
                <w:sz w:val="24"/>
              </w:rPr>
              <w:t>for energy</w:t>
            </w:r>
            <w:r w:rsidRPr="009C2E2F">
              <w:rPr>
                <w:sz w:val="24"/>
              </w:rPr>
              <w:t xml:space="preserve">, </w:t>
            </w:r>
            <w:r w:rsidR="00123F10" w:rsidRPr="009C2E2F">
              <w:rPr>
                <w:sz w:val="24"/>
              </w:rPr>
              <w:t>water</w:t>
            </w:r>
            <w:r w:rsidRPr="009C2E2F">
              <w:rPr>
                <w:sz w:val="24"/>
              </w:rPr>
              <w:t xml:space="preserve"> and </w:t>
            </w:r>
            <w:r w:rsidR="00123F10" w:rsidRPr="009C2E2F">
              <w:rPr>
                <w:sz w:val="24"/>
              </w:rPr>
              <w:t>raw material saving</w:t>
            </w:r>
            <w:r w:rsidR="00E47642" w:rsidRPr="009C2E2F">
              <w:rPr>
                <w:sz w:val="24"/>
              </w:rPr>
              <w:t xml:space="preserve"> and to bring in techniques enhancing the resource efficiency of industrial activities.</w:t>
            </w:r>
          </w:p>
          <w:p w14:paraId="2873C9AC" w14:textId="1B00A2D0" w:rsidR="00123F10" w:rsidRPr="009C2E2F" w:rsidRDefault="00123F10" w:rsidP="00123F10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 xml:space="preserve">BAT </w:t>
            </w:r>
            <w:r w:rsidR="007769DD" w:rsidRPr="009C2E2F">
              <w:rPr>
                <w:sz w:val="24"/>
              </w:rPr>
              <w:t>c</w:t>
            </w:r>
            <w:r w:rsidRPr="009C2E2F">
              <w:rPr>
                <w:sz w:val="24"/>
              </w:rPr>
              <w:t>onclusions would be</w:t>
            </w:r>
            <w:r w:rsidR="003C08BF" w:rsidRPr="009C2E2F">
              <w:rPr>
                <w:sz w:val="24"/>
              </w:rPr>
              <w:t xml:space="preserve">come </w:t>
            </w:r>
            <w:r w:rsidR="007769DD" w:rsidRPr="009C2E2F">
              <w:rPr>
                <w:sz w:val="24"/>
              </w:rPr>
              <w:t xml:space="preserve">IED </w:t>
            </w:r>
            <w:r w:rsidR="003C08BF" w:rsidRPr="009C2E2F">
              <w:rPr>
                <w:sz w:val="24"/>
              </w:rPr>
              <w:t>conform.</w:t>
            </w:r>
          </w:p>
          <w:p w14:paraId="54F86ABB" w14:textId="2C7A11DF" w:rsidR="00123F10" w:rsidRPr="009C2E2F" w:rsidRDefault="003C08BF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>S</w:t>
            </w:r>
            <w:r w:rsidR="00155E01" w:rsidRPr="009C2E2F">
              <w:rPr>
                <w:sz w:val="24"/>
              </w:rPr>
              <w:t>upport</w:t>
            </w:r>
            <w:r w:rsidRPr="009C2E2F">
              <w:rPr>
                <w:sz w:val="24"/>
              </w:rPr>
              <w:t>ing</w:t>
            </w:r>
            <w:r w:rsidR="00155E01" w:rsidRPr="009C2E2F">
              <w:rPr>
                <w:sz w:val="24"/>
              </w:rPr>
              <w:t xml:space="preserve"> </w:t>
            </w:r>
            <w:r w:rsidRPr="009C2E2F">
              <w:rPr>
                <w:sz w:val="24"/>
              </w:rPr>
              <w:t>resource efficiency/</w:t>
            </w:r>
            <w:r w:rsidR="00155E01" w:rsidRPr="009C2E2F">
              <w:rPr>
                <w:sz w:val="24"/>
              </w:rPr>
              <w:t>circular economy</w:t>
            </w:r>
            <w:r w:rsidR="00325710" w:rsidRPr="009C2E2F">
              <w:rPr>
                <w:sz w:val="24"/>
              </w:rPr>
              <w:t xml:space="preserve"> </w:t>
            </w:r>
            <w:r w:rsidRPr="009C2E2F">
              <w:rPr>
                <w:sz w:val="24"/>
              </w:rPr>
              <w:t>policy.</w:t>
            </w:r>
          </w:p>
        </w:tc>
        <w:tc>
          <w:tcPr>
            <w:tcW w:w="4716" w:type="dxa"/>
          </w:tcPr>
          <w:p w14:paraId="5F1DE5D6" w14:textId="123F1F9D" w:rsidR="00CB0B49" w:rsidRPr="009C2E2F" w:rsidRDefault="00123F10" w:rsidP="00123F10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 xml:space="preserve">BAT conclusions </w:t>
            </w:r>
            <w:r w:rsidR="00CB0B49" w:rsidRPr="009C2E2F">
              <w:rPr>
                <w:sz w:val="24"/>
              </w:rPr>
              <w:t xml:space="preserve">likely </w:t>
            </w:r>
            <w:r w:rsidR="003C08BF" w:rsidRPr="009C2E2F">
              <w:rPr>
                <w:sz w:val="24"/>
              </w:rPr>
              <w:t>to remain quite</w:t>
            </w:r>
            <w:r w:rsidR="00CB0B49" w:rsidRPr="009C2E2F">
              <w:rPr>
                <w:sz w:val="24"/>
              </w:rPr>
              <w:t xml:space="preserve"> general</w:t>
            </w:r>
            <w:r w:rsidR="00AC7891" w:rsidRPr="009C2E2F">
              <w:rPr>
                <w:sz w:val="24"/>
              </w:rPr>
              <w:t>,</w:t>
            </w:r>
            <w:r w:rsidR="003C08BF" w:rsidRPr="009C2E2F">
              <w:rPr>
                <w:sz w:val="24"/>
              </w:rPr>
              <w:t xml:space="preserve"> as the BREF would cover all IED sectors</w:t>
            </w:r>
            <w:r w:rsidR="00AC7891" w:rsidRPr="009C2E2F">
              <w:rPr>
                <w:sz w:val="24"/>
              </w:rPr>
              <w:t>.</w:t>
            </w:r>
          </w:p>
          <w:p w14:paraId="65968CA8" w14:textId="72DF8FB6" w:rsidR="00123F10" w:rsidRDefault="003C08BF" w:rsidP="00123F10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>P</w:t>
            </w:r>
            <w:r w:rsidR="005B40F9" w:rsidRPr="009C2E2F">
              <w:rPr>
                <w:sz w:val="24"/>
              </w:rPr>
              <w:t xml:space="preserve">robably </w:t>
            </w:r>
            <w:r w:rsidR="00123F10" w:rsidRPr="009C2E2F">
              <w:rPr>
                <w:sz w:val="24"/>
              </w:rPr>
              <w:t xml:space="preserve">very few </w:t>
            </w:r>
            <w:r w:rsidR="005B40F9" w:rsidRPr="009C2E2F">
              <w:rPr>
                <w:sz w:val="24"/>
              </w:rPr>
              <w:t>BAT-</w:t>
            </w:r>
            <w:r w:rsidR="00123F10" w:rsidRPr="009C2E2F">
              <w:rPr>
                <w:sz w:val="24"/>
              </w:rPr>
              <w:t>AELs (</w:t>
            </w:r>
            <w:r w:rsidRPr="009C2E2F">
              <w:rPr>
                <w:sz w:val="24"/>
              </w:rPr>
              <w:t>e.g.</w:t>
            </w:r>
            <w:r w:rsidR="00325710" w:rsidRPr="009C2E2F">
              <w:rPr>
                <w:sz w:val="24"/>
              </w:rPr>
              <w:t xml:space="preserve"> </w:t>
            </w:r>
            <w:r w:rsidR="00123F10" w:rsidRPr="009C2E2F">
              <w:rPr>
                <w:sz w:val="24"/>
              </w:rPr>
              <w:t>emissions</w:t>
            </w:r>
            <w:r w:rsidR="007769DD" w:rsidRPr="009C2E2F">
              <w:rPr>
                <w:sz w:val="24"/>
              </w:rPr>
              <w:t xml:space="preserve"> to air/water from</w:t>
            </w:r>
            <w:r w:rsidR="00123F10" w:rsidRPr="009C2E2F">
              <w:rPr>
                <w:sz w:val="24"/>
              </w:rPr>
              <w:t xml:space="preserve"> cooling systems)</w:t>
            </w:r>
            <w:r w:rsidR="00AC7891" w:rsidRPr="009C2E2F">
              <w:rPr>
                <w:sz w:val="24"/>
              </w:rPr>
              <w:t>.</w:t>
            </w:r>
          </w:p>
          <w:p w14:paraId="3B30CE5E" w14:textId="3DDFF2A1" w:rsidR="00D02741" w:rsidRPr="009C2E2F" w:rsidRDefault="00D02741" w:rsidP="00123F10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Potentially limited use of BAT conclusions on resource efficiency for defining permit conditions.</w:t>
            </w:r>
          </w:p>
          <w:p w14:paraId="59236C09" w14:textId="20E7B089" w:rsidR="0069548D" w:rsidRPr="009C2E2F" w:rsidRDefault="00155E01">
            <w:pPr>
              <w:spacing w:after="240"/>
              <w:rPr>
                <w:sz w:val="24"/>
              </w:rPr>
            </w:pPr>
            <w:r w:rsidRPr="009C2E2F">
              <w:rPr>
                <w:sz w:val="24"/>
              </w:rPr>
              <w:t xml:space="preserve">Potential </w:t>
            </w:r>
            <w:r w:rsidR="003C08BF" w:rsidRPr="009C2E2F">
              <w:rPr>
                <w:sz w:val="24"/>
              </w:rPr>
              <w:t xml:space="preserve">interference </w:t>
            </w:r>
            <w:r w:rsidRPr="009C2E2F">
              <w:rPr>
                <w:sz w:val="24"/>
              </w:rPr>
              <w:t xml:space="preserve">with other </w:t>
            </w:r>
            <w:r w:rsidR="003C08BF" w:rsidRPr="009C2E2F">
              <w:rPr>
                <w:sz w:val="24"/>
              </w:rPr>
              <w:t xml:space="preserve">instruments or </w:t>
            </w:r>
            <w:r w:rsidR="005B40F9" w:rsidRPr="009C2E2F">
              <w:rPr>
                <w:sz w:val="24"/>
              </w:rPr>
              <w:t>initiatives</w:t>
            </w:r>
            <w:r w:rsidRPr="009C2E2F">
              <w:rPr>
                <w:sz w:val="24"/>
              </w:rPr>
              <w:t>,</w:t>
            </w:r>
            <w:r w:rsidR="00E5131C" w:rsidRPr="009C2E2F">
              <w:rPr>
                <w:sz w:val="24"/>
              </w:rPr>
              <w:t xml:space="preserve"> </w:t>
            </w:r>
            <w:r w:rsidR="005B40F9" w:rsidRPr="009C2E2F">
              <w:rPr>
                <w:sz w:val="24"/>
              </w:rPr>
              <w:t>e.g.</w:t>
            </w:r>
            <w:r w:rsidR="00E5131C" w:rsidRPr="009C2E2F">
              <w:rPr>
                <w:sz w:val="24"/>
              </w:rPr>
              <w:t xml:space="preserve"> </w:t>
            </w:r>
            <w:r w:rsidR="003C08BF" w:rsidRPr="009C2E2F">
              <w:rPr>
                <w:sz w:val="24"/>
              </w:rPr>
              <w:t xml:space="preserve">energy audits for large enterprises required under </w:t>
            </w:r>
            <w:r w:rsidR="00E5131C" w:rsidRPr="009C2E2F">
              <w:rPr>
                <w:sz w:val="24"/>
              </w:rPr>
              <w:t xml:space="preserve">Article 8 of </w:t>
            </w:r>
            <w:r w:rsidR="005B40F9" w:rsidRPr="009C2E2F">
              <w:rPr>
                <w:sz w:val="24"/>
              </w:rPr>
              <w:t xml:space="preserve">the </w:t>
            </w:r>
            <w:r w:rsidR="00E5131C" w:rsidRPr="009C2E2F">
              <w:rPr>
                <w:sz w:val="24"/>
              </w:rPr>
              <w:t>Energy Efficiency</w:t>
            </w:r>
            <w:r w:rsidR="0069548D" w:rsidRPr="009C2E2F">
              <w:rPr>
                <w:sz w:val="24"/>
              </w:rPr>
              <w:t xml:space="preserve"> Directive (2012/27/EU)</w:t>
            </w:r>
            <w:r w:rsidR="005A42DC" w:rsidRPr="009C2E2F">
              <w:rPr>
                <w:sz w:val="24"/>
              </w:rPr>
              <w:t>.</w:t>
            </w:r>
          </w:p>
        </w:tc>
      </w:tr>
    </w:tbl>
    <w:p w14:paraId="794B45F3" w14:textId="77777777" w:rsidR="00382CA4" w:rsidRPr="00B000BF" w:rsidRDefault="00382CA4" w:rsidP="00382CA4">
      <w:pPr>
        <w:spacing w:before="240" w:after="240"/>
        <w:rPr>
          <w:sz w:val="24"/>
        </w:rPr>
      </w:pPr>
      <w:r>
        <w:rPr>
          <w:sz w:val="24"/>
        </w:rPr>
        <w:t xml:space="preserve">The IED Article 13 Forum, during its meeting of 19 October 2015, expressed a preference for </w:t>
      </w:r>
      <w:r w:rsidRPr="00B000BF">
        <w:rPr>
          <w:sz w:val="24"/>
        </w:rPr>
        <w:t>integrat</w:t>
      </w:r>
      <w:r>
        <w:rPr>
          <w:sz w:val="24"/>
        </w:rPr>
        <w:t>ing</w:t>
      </w:r>
      <w:r w:rsidRPr="00B000BF">
        <w:rPr>
          <w:sz w:val="24"/>
        </w:rPr>
        <w:t xml:space="preserve"> resource efficiency issues in the sector</w:t>
      </w:r>
      <w:r>
        <w:rPr>
          <w:sz w:val="24"/>
        </w:rPr>
        <w:t>-</w:t>
      </w:r>
      <w:r w:rsidRPr="00B000BF">
        <w:rPr>
          <w:sz w:val="24"/>
        </w:rPr>
        <w:t>specific</w:t>
      </w:r>
      <w:r>
        <w:rPr>
          <w:sz w:val="24"/>
        </w:rPr>
        <w:t xml:space="preserve"> </w:t>
      </w:r>
      <w:r w:rsidRPr="00B000BF">
        <w:rPr>
          <w:sz w:val="24"/>
        </w:rPr>
        <w:t xml:space="preserve">BREFs. </w:t>
      </w:r>
    </w:p>
    <w:p w14:paraId="13DDA0FB" w14:textId="00C4B726" w:rsidR="00260BA8" w:rsidRPr="00AC3107" w:rsidRDefault="00382CA4" w:rsidP="00382CA4">
      <w:pPr>
        <w:spacing w:before="240" w:after="240"/>
        <w:rPr>
          <w:sz w:val="24"/>
        </w:rPr>
      </w:pPr>
      <w:r w:rsidRPr="00B000BF">
        <w:rPr>
          <w:sz w:val="24"/>
        </w:rPr>
        <w:t>The Commission took note of the preference expressed by the forum on this point, while</w:t>
      </w:r>
      <w:r>
        <w:rPr>
          <w:sz w:val="24"/>
        </w:rPr>
        <w:t xml:space="preserve"> </w:t>
      </w:r>
      <w:r w:rsidRPr="00B000BF">
        <w:rPr>
          <w:sz w:val="24"/>
        </w:rPr>
        <w:t xml:space="preserve">remarking </w:t>
      </w:r>
      <w:r>
        <w:rPr>
          <w:sz w:val="24"/>
        </w:rPr>
        <w:t>the</w:t>
      </w:r>
      <w:r w:rsidRPr="00B000BF">
        <w:rPr>
          <w:sz w:val="24"/>
        </w:rPr>
        <w:t xml:space="preserve"> need to remain aware of the Circular Economy Package.</w:t>
      </w:r>
    </w:p>
    <w:p w14:paraId="00887C1E" w14:textId="77777777" w:rsidR="005A42DC" w:rsidRDefault="005A42DC">
      <w:pPr>
        <w:suppressAutoHyphens w:val="0"/>
        <w:jc w:val="left"/>
        <w:rPr>
          <w:rFonts w:ascii="Arial" w:hAnsi="Arial" w:cs="Arial"/>
          <w:b/>
          <w:caps/>
          <w:kern w:val="1"/>
          <w:sz w:val="28"/>
          <w:szCs w:val="20"/>
        </w:rPr>
      </w:pPr>
      <w:r>
        <w:br w:type="page"/>
      </w:r>
    </w:p>
    <w:p w14:paraId="13DDA0FC" w14:textId="659A9BFF" w:rsidR="009E66A4" w:rsidRPr="009C2E2F" w:rsidRDefault="002F1BF1" w:rsidP="009C2E2F">
      <w:pPr>
        <w:pStyle w:val="Heading1"/>
        <w:spacing w:before="240" w:after="240"/>
      </w:pPr>
      <w:r>
        <w:lastRenderedPageBreak/>
        <w:t>W</w:t>
      </w:r>
      <w:r w:rsidR="009E66A4" w:rsidRPr="00334753">
        <w:t xml:space="preserve">ork programme </w:t>
      </w:r>
      <w:r>
        <w:t xml:space="preserve">for </w:t>
      </w:r>
      <w:r w:rsidR="00BD4FCE" w:rsidRPr="00334753">
        <w:t>201</w:t>
      </w:r>
      <w:r w:rsidR="005E7110">
        <w:t>6</w:t>
      </w:r>
      <w:r w:rsidR="00BD4FCE" w:rsidRPr="00334753">
        <w:t xml:space="preserve"> and outlook</w:t>
      </w:r>
    </w:p>
    <w:p w14:paraId="13DDA0FD" w14:textId="0370EC33" w:rsidR="009E66A4" w:rsidRPr="00334753" w:rsidRDefault="009E66A4" w:rsidP="00334753">
      <w:pPr>
        <w:spacing w:after="240"/>
        <w:rPr>
          <w:sz w:val="24"/>
        </w:rPr>
      </w:pPr>
      <w:r w:rsidRPr="00334753">
        <w:rPr>
          <w:sz w:val="24"/>
          <w:u w:val="single"/>
        </w:rPr>
        <w:t>Annex 1</w:t>
      </w:r>
      <w:r w:rsidRPr="00334753">
        <w:rPr>
          <w:sz w:val="24"/>
        </w:rPr>
        <w:t xml:space="preserve"> presents the work programme for </w:t>
      </w:r>
      <w:r w:rsidR="00BD4FCE" w:rsidRPr="00334753">
        <w:rPr>
          <w:sz w:val="24"/>
        </w:rPr>
        <w:t>201</w:t>
      </w:r>
      <w:r w:rsidR="00586CAF">
        <w:rPr>
          <w:sz w:val="24"/>
        </w:rPr>
        <w:t>6</w:t>
      </w:r>
      <w:r w:rsidR="00BD4FCE" w:rsidRPr="00334753">
        <w:rPr>
          <w:sz w:val="24"/>
        </w:rPr>
        <w:t xml:space="preserve">, </w:t>
      </w:r>
      <w:r w:rsidR="00EF5F03">
        <w:rPr>
          <w:sz w:val="24"/>
        </w:rPr>
        <w:t xml:space="preserve">as well as </w:t>
      </w:r>
      <w:r w:rsidR="00BD4FCE" w:rsidRPr="00334753">
        <w:rPr>
          <w:sz w:val="24"/>
        </w:rPr>
        <w:t xml:space="preserve">a further outlook for the </w:t>
      </w:r>
      <w:r w:rsidR="005A42DC">
        <w:rPr>
          <w:sz w:val="24"/>
        </w:rPr>
        <w:t>following years</w:t>
      </w:r>
      <w:r w:rsidRPr="00334753">
        <w:rPr>
          <w:sz w:val="24"/>
        </w:rPr>
        <w:t>.</w:t>
      </w:r>
    </w:p>
    <w:p w14:paraId="13DDA0FE" w14:textId="5912D5CF" w:rsidR="006F5EE2" w:rsidRPr="00334753" w:rsidRDefault="00BD4FCE" w:rsidP="00334753">
      <w:pPr>
        <w:spacing w:after="240"/>
        <w:rPr>
          <w:sz w:val="24"/>
        </w:rPr>
      </w:pPr>
      <w:r w:rsidRPr="00334753">
        <w:rPr>
          <w:sz w:val="24"/>
        </w:rPr>
        <w:t xml:space="preserve">In </w:t>
      </w:r>
      <w:r w:rsidR="009E66A4" w:rsidRPr="00334753">
        <w:rPr>
          <w:sz w:val="24"/>
        </w:rPr>
        <w:t>201</w:t>
      </w:r>
      <w:r w:rsidR="003A3273">
        <w:rPr>
          <w:sz w:val="24"/>
        </w:rPr>
        <w:t>6</w:t>
      </w:r>
      <w:r w:rsidR="009E66A4" w:rsidRPr="00334753">
        <w:rPr>
          <w:sz w:val="24"/>
        </w:rPr>
        <w:t xml:space="preserve">, </w:t>
      </w:r>
      <w:r w:rsidR="004E5358">
        <w:rPr>
          <w:sz w:val="24"/>
        </w:rPr>
        <w:t>two</w:t>
      </w:r>
      <w:r w:rsidR="00154906" w:rsidRPr="00334753">
        <w:rPr>
          <w:sz w:val="24"/>
        </w:rPr>
        <w:t xml:space="preserve"> </w:t>
      </w:r>
      <w:r w:rsidR="009E66A4" w:rsidRPr="00334753">
        <w:rPr>
          <w:sz w:val="24"/>
        </w:rPr>
        <w:t xml:space="preserve">BREF reviews </w:t>
      </w:r>
      <w:r w:rsidR="005717EB">
        <w:rPr>
          <w:sz w:val="24"/>
        </w:rPr>
        <w:t>will</w:t>
      </w:r>
      <w:r w:rsidR="009E66A4" w:rsidRPr="00334753">
        <w:rPr>
          <w:sz w:val="24"/>
        </w:rPr>
        <w:t xml:space="preserve"> start </w:t>
      </w:r>
      <w:r w:rsidR="00022DF0" w:rsidRPr="00334753">
        <w:rPr>
          <w:sz w:val="24"/>
        </w:rPr>
        <w:t>(</w:t>
      </w:r>
      <w:r w:rsidR="009E66A4" w:rsidRPr="00334753">
        <w:rPr>
          <w:sz w:val="24"/>
        </w:rPr>
        <w:t xml:space="preserve">subject to </w:t>
      </w:r>
      <w:r w:rsidR="005021F7" w:rsidRPr="00334753">
        <w:rPr>
          <w:sz w:val="24"/>
        </w:rPr>
        <w:t xml:space="preserve">the </w:t>
      </w:r>
      <w:r w:rsidR="009E66A4" w:rsidRPr="00334753">
        <w:rPr>
          <w:sz w:val="24"/>
        </w:rPr>
        <w:t>availability of adequate staffing within the European IPPC Bureau</w:t>
      </w:r>
      <w:r w:rsidR="00022DF0" w:rsidRPr="00334753">
        <w:rPr>
          <w:sz w:val="24"/>
        </w:rPr>
        <w:t>)</w:t>
      </w:r>
      <w:r w:rsidR="00F33899" w:rsidRPr="00334753">
        <w:rPr>
          <w:sz w:val="24"/>
        </w:rPr>
        <w:t>:</w:t>
      </w:r>
    </w:p>
    <w:p w14:paraId="13DDA100" w14:textId="414C529A" w:rsidR="006D4D8A" w:rsidRDefault="006D4D8A" w:rsidP="00334753">
      <w:pPr>
        <w:numPr>
          <w:ilvl w:val="0"/>
          <w:numId w:val="31"/>
        </w:numPr>
        <w:spacing w:after="240"/>
        <w:rPr>
          <w:sz w:val="24"/>
        </w:rPr>
      </w:pPr>
      <w:r>
        <w:rPr>
          <w:sz w:val="24"/>
        </w:rPr>
        <w:t>Common Waste Gas Treatment in the Chemical Sector (WG</w:t>
      </w:r>
      <w:r w:rsidR="001E523C">
        <w:rPr>
          <w:sz w:val="24"/>
        </w:rPr>
        <w:t>C</w:t>
      </w:r>
      <w:r>
        <w:rPr>
          <w:sz w:val="24"/>
        </w:rPr>
        <w:t>)</w:t>
      </w:r>
      <w:r w:rsidR="001E523C">
        <w:rPr>
          <w:sz w:val="24"/>
        </w:rPr>
        <w:t>;</w:t>
      </w:r>
    </w:p>
    <w:p w14:paraId="13DDA102" w14:textId="34563F28" w:rsidR="009E66A4" w:rsidRPr="009C2E2F" w:rsidRDefault="006D4D8A" w:rsidP="00D4421B">
      <w:pPr>
        <w:numPr>
          <w:ilvl w:val="0"/>
          <w:numId w:val="31"/>
        </w:numPr>
        <w:spacing w:after="240"/>
        <w:rPr>
          <w:sz w:val="24"/>
        </w:rPr>
      </w:pPr>
      <w:r w:rsidRPr="009C2E2F">
        <w:rPr>
          <w:sz w:val="24"/>
        </w:rPr>
        <w:t>Textiles (TXT).</w:t>
      </w:r>
    </w:p>
    <w:p w14:paraId="38F1A6DA" w14:textId="62316DBB" w:rsidR="005A42DC" w:rsidRPr="009C2E2F" w:rsidRDefault="005A42DC" w:rsidP="009C2E2F">
      <w:pPr>
        <w:spacing w:after="240"/>
        <w:rPr>
          <w:sz w:val="24"/>
        </w:rPr>
      </w:pPr>
      <w:r w:rsidRPr="009C2E2F">
        <w:rPr>
          <w:sz w:val="24"/>
        </w:rPr>
        <w:t xml:space="preserve">For </w:t>
      </w:r>
      <w:r w:rsidR="007A433B">
        <w:rPr>
          <w:sz w:val="24"/>
        </w:rPr>
        <w:t xml:space="preserve">2017 and </w:t>
      </w:r>
      <w:r w:rsidRPr="009C2E2F">
        <w:rPr>
          <w:sz w:val="24"/>
        </w:rPr>
        <w:t xml:space="preserve">the next years, </w:t>
      </w:r>
      <w:r w:rsidR="00D02741">
        <w:rPr>
          <w:sz w:val="24"/>
        </w:rPr>
        <w:t>the Commission has</w:t>
      </w:r>
      <w:r w:rsidRPr="009C2E2F">
        <w:rPr>
          <w:sz w:val="24"/>
        </w:rPr>
        <w:t xml:space="preserve"> indicated the current priorities for starting further BREF reviews.</w:t>
      </w:r>
    </w:p>
    <w:p w14:paraId="0F0E40C6" w14:textId="21651F9B" w:rsidR="005A42DC" w:rsidRPr="009C2E2F" w:rsidRDefault="005A42DC" w:rsidP="009C2E2F">
      <w:pPr>
        <w:spacing w:after="240"/>
        <w:rPr>
          <w:i/>
          <w:sz w:val="24"/>
        </w:rPr>
      </w:pPr>
      <w:r w:rsidRPr="009C2E2F">
        <w:rPr>
          <w:i/>
          <w:sz w:val="24"/>
        </w:rPr>
        <w:t xml:space="preserve">While the objective remains to launch </w:t>
      </w:r>
      <w:r w:rsidR="00B01209" w:rsidRPr="009C2E2F">
        <w:rPr>
          <w:i/>
          <w:sz w:val="24"/>
        </w:rPr>
        <w:t>four</w:t>
      </w:r>
      <w:r w:rsidRPr="009C2E2F">
        <w:rPr>
          <w:i/>
          <w:sz w:val="24"/>
        </w:rPr>
        <w:t xml:space="preserve"> BREF reviews </w:t>
      </w:r>
      <w:r w:rsidR="00B01209" w:rsidRPr="009C2E2F">
        <w:rPr>
          <w:i/>
          <w:sz w:val="24"/>
        </w:rPr>
        <w:t>per year</w:t>
      </w:r>
      <w:r w:rsidRPr="009C2E2F">
        <w:rPr>
          <w:i/>
          <w:sz w:val="24"/>
        </w:rPr>
        <w:t xml:space="preserve">, </w:t>
      </w:r>
      <w:r w:rsidR="00B01209" w:rsidRPr="009C2E2F">
        <w:rPr>
          <w:i/>
          <w:sz w:val="24"/>
        </w:rPr>
        <w:t>the actual number of reviews to start in 2017 and thereafter</w:t>
      </w:r>
      <w:r w:rsidRPr="009C2E2F">
        <w:rPr>
          <w:i/>
          <w:sz w:val="24"/>
        </w:rPr>
        <w:t xml:space="preserve"> will depend on progress made in the course of 2015 and 2016 on the BREFs currently under </w:t>
      </w:r>
      <w:r w:rsidR="00D02741">
        <w:rPr>
          <w:i/>
          <w:sz w:val="24"/>
        </w:rPr>
        <w:t>review</w:t>
      </w:r>
      <w:r w:rsidR="00A820B3" w:rsidRPr="009C2E2F">
        <w:rPr>
          <w:i/>
          <w:sz w:val="24"/>
        </w:rPr>
        <w:t>,</w:t>
      </w:r>
      <w:r w:rsidRPr="009C2E2F">
        <w:rPr>
          <w:i/>
          <w:sz w:val="24"/>
        </w:rPr>
        <w:t xml:space="preserve"> as well as on the successful implementation of a more focused approach</w:t>
      </w:r>
      <w:r w:rsidR="00BE423F">
        <w:rPr>
          <w:i/>
          <w:sz w:val="24"/>
        </w:rPr>
        <w:t>.</w:t>
      </w:r>
    </w:p>
    <w:p w14:paraId="30D7B669" w14:textId="77777777" w:rsidR="005A42DC" w:rsidRDefault="005A42DC" w:rsidP="009C2E2F">
      <w:pPr>
        <w:spacing w:after="240"/>
        <w:rPr>
          <w:sz w:val="24"/>
        </w:rPr>
      </w:pPr>
    </w:p>
    <w:p w14:paraId="1692B61D" w14:textId="77777777" w:rsidR="005A42DC" w:rsidRPr="00D4421B" w:rsidRDefault="005A42DC" w:rsidP="009C2E2F">
      <w:pPr>
        <w:spacing w:after="240"/>
        <w:rPr>
          <w:sz w:val="24"/>
        </w:rPr>
      </w:pPr>
    </w:p>
    <w:p w14:paraId="13DDA103" w14:textId="77777777" w:rsidR="00127471" w:rsidRDefault="00127471" w:rsidP="00B655F2">
      <w:pPr>
        <w:pStyle w:val="Heading2"/>
        <w:numPr>
          <w:ilvl w:val="0"/>
          <w:numId w:val="0"/>
        </w:numPr>
        <w:jc w:val="center"/>
        <w:rPr>
          <w:sz w:val="24"/>
        </w:rPr>
        <w:sectPr w:rsidR="00127471" w:rsidSect="00D05A38">
          <w:footerReference w:type="default" r:id="rId13"/>
          <w:pgSz w:w="11906" w:h="16838"/>
          <w:pgMar w:top="1134" w:right="1134" w:bottom="1134" w:left="1557" w:header="567" w:footer="567" w:gutter="0"/>
          <w:pgNumType w:start="1"/>
          <w:cols w:space="708"/>
          <w:docGrid w:linePitch="360"/>
        </w:sectPr>
      </w:pPr>
    </w:p>
    <w:p w14:paraId="2809C213" w14:textId="6443E4DD" w:rsidR="00AC74EB" w:rsidRDefault="00AC74EB" w:rsidP="00AC74EB">
      <w:pPr>
        <w:pStyle w:val="Heading1"/>
        <w:numPr>
          <w:ilvl w:val="0"/>
          <w:numId w:val="0"/>
        </w:numPr>
        <w:jc w:val="center"/>
      </w:pPr>
      <w:r>
        <w:t>ANNEX 1</w:t>
      </w:r>
    </w:p>
    <w:p w14:paraId="13DDA108" w14:textId="6CF976BC" w:rsidR="009E66A4" w:rsidRPr="00AC74EB" w:rsidRDefault="009E66A4" w:rsidP="00AC74EB">
      <w:pPr>
        <w:jc w:val="center"/>
        <w:rPr>
          <w:rFonts w:ascii="Arial" w:hAnsi="Arial" w:cs="Arial"/>
          <w:b/>
          <w:sz w:val="28"/>
          <w:szCs w:val="28"/>
        </w:rPr>
      </w:pPr>
      <w:r w:rsidRPr="00AC74EB">
        <w:rPr>
          <w:rFonts w:ascii="Arial" w:hAnsi="Arial" w:cs="Arial"/>
          <w:b/>
          <w:sz w:val="28"/>
          <w:szCs w:val="28"/>
        </w:rPr>
        <w:t>Work programme for 201</w:t>
      </w:r>
      <w:r w:rsidR="003256E6" w:rsidRPr="00AC74EB">
        <w:rPr>
          <w:rFonts w:ascii="Arial" w:hAnsi="Arial" w:cs="Arial"/>
          <w:b/>
          <w:sz w:val="28"/>
          <w:szCs w:val="28"/>
        </w:rPr>
        <w:t>6</w:t>
      </w:r>
      <w:r w:rsidR="005A42DC">
        <w:rPr>
          <w:rFonts w:ascii="Arial" w:hAnsi="Arial" w:cs="Arial"/>
          <w:b/>
          <w:sz w:val="28"/>
          <w:szCs w:val="28"/>
        </w:rPr>
        <w:t xml:space="preserve"> </w:t>
      </w:r>
      <w:r w:rsidR="00CA61E9" w:rsidRPr="00AC74EB">
        <w:rPr>
          <w:rFonts w:ascii="Arial" w:hAnsi="Arial" w:cs="Arial"/>
          <w:b/>
          <w:sz w:val="28"/>
          <w:szCs w:val="28"/>
        </w:rPr>
        <w:t>(</w:t>
      </w:r>
      <w:r w:rsidR="00BD4FCE" w:rsidRPr="00AC74EB">
        <w:rPr>
          <w:rFonts w:ascii="Arial" w:hAnsi="Arial" w:cs="Arial"/>
          <w:b/>
          <w:sz w:val="28"/>
          <w:szCs w:val="28"/>
        </w:rPr>
        <w:t xml:space="preserve">and outlook for </w:t>
      </w:r>
      <w:r w:rsidR="005A42DC">
        <w:rPr>
          <w:rFonts w:ascii="Arial" w:hAnsi="Arial" w:cs="Arial"/>
          <w:b/>
          <w:sz w:val="28"/>
          <w:szCs w:val="28"/>
        </w:rPr>
        <w:t>the following years</w:t>
      </w:r>
      <w:r w:rsidR="00CA61E9" w:rsidRPr="00AC74EB">
        <w:rPr>
          <w:rFonts w:ascii="Arial" w:hAnsi="Arial" w:cs="Arial"/>
          <w:b/>
          <w:sz w:val="28"/>
          <w:szCs w:val="28"/>
        </w:rPr>
        <w:t>)</w:t>
      </w:r>
    </w:p>
    <w:p w14:paraId="13DDA109" w14:textId="77777777" w:rsidR="009E66A4" w:rsidRDefault="009E66A4"/>
    <w:p w14:paraId="13DDA10A" w14:textId="58F03763" w:rsidR="009E66A4" w:rsidRDefault="009E66A4">
      <w:r>
        <w:t>Grey shading indicates ongoing work.</w:t>
      </w:r>
    </w:p>
    <w:p w14:paraId="13DDA10B" w14:textId="77777777" w:rsidR="009E66A4" w:rsidRDefault="009E66A4"/>
    <w:tbl>
      <w:tblPr>
        <w:tblW w:w="14034" w:type="dxa"/>
        <w:jc w:val="center"/>
        <w:tblLayout w:type="fixed"/>
        <w:tblLook w:val="0000" w:firstRow="0" w:lastRow="0" w:firstColumn="0" w:lastColumn="0" w:noHBand="0" w:noVBand="0"/>
      </w:tblPr>
      <w:tblGrid>
        <w:gridCol w:w="6040"/>
        <w:gridCol w:w="1851"/>
        <w:gridCol w:w="2082"/>
        <w:gridCol w:w="4061"/>
      </w:tblGrid>
      <w:tr w:rsidR="009E66A4" w14:paraId="13DDA110" w14:textId="77777777" w:rsidTr="00D05A38">
        <w:trPr>
          <w:cantSplit/>
          <w:trHeight w:val="335"/>
          <w:tblHeader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0C" w14:textId="77777777" w:rsidR="009E66A4" w:rsidRDefault="007B08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E66A4">
              <w:rPr>
                <w:b/>
                <w:sz w:val="20"/>
                <w:szCs w:val="20"/>
              </w:rPr>
              <w:t>AT reference document</w:t>
            </w:r>
            <w:r w:rsidR="00842B82">
              <w:rPr>
                <w:b/>
                <w:sz w:val="20"/>
                <w:szCs w:val="20"/>
              </w:rPr>
              <w:t xml:space="preserve"> (BREF)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0D" w14:textId="1289B213" w:rsidR="009E66A4" w:rsidRDefault="00237674" w:rsidP="00B2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(Re)a</w:t>
            </w:r>
            <w:r w:rsidR="009E66A4">
              <w:rPr>
                <w:sz w:val="20"/>
                <w:szCs w:val="20"/>
              </w:rPr>
              <w:t>ctivation of the TWG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0E" w14:textId="7896FD01" w:rsidR="009E66A4" w:rsidRDefault="009E66A4" w:rsidP="0023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Draft BREF to </w:t>
            </w:r>
            <w:r w:rsidR="000C3CC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IED Article 13 </w:t>
            </w:r>
            <w:r w:rsidR="002F1BF1">
              <w:rPr>
                <w:sz w:val="20"/>
                <w:szCs w:val="20"/>
              </w:rPr>
              <w:t>f</w:t>
            </w:r>
            <w:r w:rsidR="00237674">
              <w:rPr>
                <w:sz w:val="20"/>
                <w:szCs w:val="20"/>
              </w:rPr>
              <w:t xml:space="preserve">orum </w:t>
            </w:r>
            <w:r>
              <w:rPr>
                <w:sz w:val="20"/>
                <w:szCs w:val="20"/>
              </w:rPr>
              <w:t xml:space="preserve">for </w:t>
            </w:r>
            <w:r w:rsidR="00237674">
              <w:rPr>
                <w:sz w:val="20"/>
                <w:szCs w:val="20"/>
              </w:rPr>
              <w:t xml:space="preserve">its </w:t>
            </w:r>
            <w:r>
              <w:rPr>
                <w:sz w:val="20"/>
                <w:szCs w:val="20"/>
              </w:rPr>
              <w:t>opinion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0F" w14:textId="77777777" w:rsidR="009E66A4" w:rsidRDefault="009E6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E66A4" w14:paraId="13DDA116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1" w14:textId="3F7A4FCE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Intensive Rearing of Poultry </w:t>
            </w:r>
            <w:r w:rsidR="00103C5A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Pig</w:t>
            </w:r>
            <w:r w:rsidRPr="007B08E3">
              <w:rPr>
                <w:b/>
                <w:sz w:val="20"/>
                <w:szCs w:val="20"/>
              </w:rPr>
              <w:t xml:space="preserve">s </w:t>
            </w:r>
            <w:r w:rsidR="007B08E3" w:rsidRPr="007B08E3">
              <w:rPr>
                <w:b/>
                <w:sz w:val="20"/>
                <w:szCs w:val="20"/>
              </w:rPr>
              <w:t>(IRPP)</w:t>
            </w:r>
          </w:p>
          <w:p w14:paraId="13DDA112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2003)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3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4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A33EE">
              <w:rPr>
                <w:sz w:val="20"/>
                <w:szCs w:val="20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15" w14:textId="478145F7" w:rsidR="009E66A4" w:rsidRDefault="009E66A4" w:rsidP="00B24B7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9E66A4" w14:paraId="13DDA11C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7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Large Volume Organic Chemicals</w:t>
            </w:r>
            <w:r w:rsidR="007B08E3">
              <w:rPr>
                <w:b/>
                <w:sz w:val="20"/>
                <w:szCs w:val="20"/>
              </w:rPr>
              <w:t xml:space="preserve"> (LVOC)</w:t>
            </w:r>
          </w:p>
          <w:p w14:paraId="13DDA118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2002)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9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A" w14:textId="77777777" w:rsidR="009E66A4" w:rsidRDefault="00B6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E63AA">
              <w:rPr>
                <w:sz w:val="20"/>
                <w:szCs w:val="20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1B" w14:textId="4565DE03" w:rsidR="009E66A4" w:rsidRDefault="009E66A4" w:rsidP="00B24B7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9E66A4" w14:paraId="13DDA122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D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Large Combustion Plants</w:t>
            </w:r>
            <w:r w:rsidR="007B08E3">
              <w:rPr>
                <w:b/>
                <w:sz w:val="20"/>
                <w:szCs w:val="20"/>
              </w:rPr>
              <w:t xml:space="preserve"> (LCP)</w:t>
            </w:r>
          </w:p>
          <w:p w14:paraId="13DDA11E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1F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0" w14:textId="77777777" w:rsidR="009E66A4" w:rsidRDefault="00B6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E63AA">
              <w:rPr>
                <w:sz w:val="20"/>
                <w:szCs w:val="20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21" w14:textId="7002E54A" w:rsidR="009E66A4" w:rsidRDefault="009E66A4" w:rsidP="00B24B7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9E66A4" w14:paraId="13DDA128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3" w14:textId="3200C8F8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Waste Treatment</w:t>
            </w:r>
            <w:r w:rsidR="007B08E3">
              <w:rPr>
                <w:b/>
                <w:sz w:val="20"/>
                <w:szCs w:val="20"/>
              </w:rPr>
              <w:t xml:space="preserve"> (WT)</w:t>
            </w:r>
          </w:p>
          <w:p w14:paraId="13DDA124" w14:textId="77777777" w:rsidR="009E66A4" w:rsidRDefault="009E66A4" w:rsidP="000C2D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5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6" w14:textId="77777777" w:rsidR="009E66A4" w:rsidRDefault="009E66A4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201</w:t>
            </w:r>
            <w:r w:rsidR="0095092A">
              <w:rPr>
                <w:sz w:val="20"/>
                <w:szCs w:val="20"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27" w14:textId="3A233DAC" w:rsidR="009E66A4" w:rsidRDefault="004E5358" w:rsidP="00B24B75">
            <w:p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9E66A4" w14:paraId="13DDA12E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9" w14:textId="77777777" w:rsidR="009E66A4" w:rsidRDefault="009E66A4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Waste Incineration</w:t>
            </w:r>
            <w:r w:rsidR="007B08E3">
              <w:rPr>
                <w:b/>
                <w:sz w:val="20"/>
                <w:szCs w:val="20"/>
              </w:rPr>
              <w:t xml:space="preserve"> (WI)</w:t>
            </w:r>
          </w:p>
          <w:p w14:paraId="13DDA12A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 xml:space="preserve">adopted </w:t>
            </w:r>
            <w:r w:rsidR="000C2D3A">
              <w:rPr>
                <w:bCs/>
                <w:sz w:val="20"/>
                <w:szCs w:val="20"/>
              </w:rPr>
              <w:t xml:space="preserve">in </w:t>
            </w:r>
            <w:r>
              <w:rPr>
                <w:bCs/>
                <w:sz w:val="20"/>
                <w:szCs w:val="20"/>
              </w:rPr>
              <w:t>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B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C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5092A">
              <w:rPr>
                <w:sz w:val="20"/>
                <w:szCs w:val="20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2D" w14:textId="7501B7A3" w:rsidR="009E66A4" w:rsidRDefault="004E5358" w:rsidP="00B24B7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9E66A4" w14:paraId="13DDA134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2F" w14:textId="77777777" w:rsidR="00AB7F9F" w:rsidRDefault="00AB7F9F" w:rsidP="00AB7F9F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Food, Drink and Milk</w:t>
            </w:r>
            <w:r w:rsidR="005C4CD0">
              <w:rPr>
                <w:b/>
                <w:bCs/>
                <w:sz w:val="20"/>
                <w:szCs w:val="20"/>
              </w:rPr>
              <w:t xml:space="preserve"> (FDM)</w:t>
            </w:r>
          </w:p>
          <w:p w14:paraId="13DDA130" w14:textId="77777777" w:rsidR="009E66A4" w:rsidRDefault="00AB7F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31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32" w14:textId="77777777" w:rsidR="009E66A4" w:rsidRDefault="009E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73A4A">
              <w:rPr>
                <w:sz w:val="20"/>
                <w:szCs w:val="20"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33" w14:textId="5DEEE558" w:rsidR="009E66A4" w:rsidRDefault="004E5358" w:rsidP="00B24B7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ongoing</w:t>
            </w:r>
          </w:p>
        </w:tc>
      </w:tr>
      <w:tr w:rsidR="00096006" w14:paraId="13DDA13A" w14:textId="77777777" w:rsidTr="001E47F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35" w14:textId="77777777" w:rsidR="00096006" w:rsidRPr="00096006" w:rsidRDefault="00096006" w:rsidP="00B06ADF">
            <w:pPr>
              <w:jc w:val="left"/>
              <w:rPr>
                <w:bCs/>
                <w:sz w:val="20"/>
                <w:szCs w:val="20"/>
              </w:rPr>
            </w:pPr>
            <w:r w:rsidRPr="00096006">
              <w:rPr>
                <w:b/>
                <w:sz w:val="20"/>
                <w:szCs w:val="20"/>
              </w:rPr>
              <w:t>Surface Treatment Using Organic Solvents (STS)</w:t>
            </w:r>
          </w:p>
          <w:p w14:paraId="13DDA136" w14:textId="4E7C1396" w:rsidR="005A1D03" w:rsidRPr="005A1D03" w:rsidRDefault="00096006" w:rsidP="008F69E0">
            <w:pPr>
              <w:jc w:val="left"/>
              <w:rPr>
                <w:bCs/>
                <w:sz w:val="20"/>
                <w:szCs w:val="20"/>
              </w:rPr>
            </w:pPr>
            <w:r w:rsidRPr="00096006">
              <w:rPr>
                <w:bCs/>
                <w:sz w:val="20"/>
                <w:szCs w:val="20"/>
              </w:rPr>
              <w:t>(</w:t>
            </w:r>
            <w:r w:rsidRPr="00096006">
              <w:rPr>
                <w:sz w:val="20"/>
                <w:szCs w:val="20"/>
              </w:rPr>
              <w:t xml:space="preserve">first BREF </w:t>
            </w:r>
            <w:r w:rsidRPr="00096006">
              <w:rPr>
                <w:bCs/>
                <w:sz w:val="20"/>
                <w:szCs w:val="20"/>
              </w:rPr>
              <w:t xml:space="preserve">adopted </w:t>
            </w:r>
            <w:r w:rsidR="000C2D3A">
              <w:rPr>
                <w:bCs/>
                <w:sz w:val="20"/>
                <w:szCs w:val="20"/>
              </w:rPr>
              <w:t xml:space="preserve">in </w:t>
            </w:r>
            <w:r w:rsidRPr="00096006">
              <w:rPr>
                <w:bCs/>
                <w:sz w:val="20"/>
                <w:szCs w:val="20"/>
              </w:rPr>
              <w:t>2007)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37" w14:textId="77777777" w:rsidR="00096006" w:rsidRPr="00096006" w:rsidRDefault="00096006" w:rsidP="00B06ADF">
            <w:pPr>
              <w:jc w:val="center"/>
              <w:rPr>
                <w:sz w:val="20"/>
                <w:szCs w:val="20"/>
              </w:rPr>
            </w:pPr>
            <w:r w:rsidRPr="00096006">
              <w:rPr>
                <w:sz w:val="20"/>
                <w:szCs w:val="20"/>
              </w:rPr>
              <w:t>2014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A138" w14:textId="77777777" w:rsidR="00096006" w:rsidRPr="00096006" w:rsidRDefault="00096006" w:rsidP="00B06ADF">
            <w:pPr>
              <w:jc w:val="center"/>
              <w:rPr>
                <w:sz w:val="20"/>
                <w:szCs w:val="20"/>
              </w:rPr>
            </w:pPr>
            <w:r w:rsidRPr="00096006">
              <w:rPr>
                <w:sz w:val="20"/>
                <w:szCs w:val="20"/>
              </w:rPr>
              <w:t>201</w:t>
            </w:r>
            <w:r w:rsidR="001925C9">
              <w:rPr>
                <w:sz w:val="20"/>
                <w:szCs w:val="20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DDA139" w14:textId="697B07FD" w:rsidR="00096006" w:rsidRDefault="008F69E0" w:rsidP="005A1D03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review of the STS BREF include</w:t>
            </w:r>
            <w:r w:rsidR="005A1D03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the activity of wood and wood</w:t>
            </w:r>
            <w:r w:rsidR="00B24B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products preservation with chemicals (WPC)</w:t>
            </w:r>
          </w:p>
        </w:tc>
      </w:tr>
      <w:tr w:rsidR="009E66A4" w14:paraId="13DDA140" w14:textId="77777777" w:rsidTr="001E47F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14:paraId="13DDA13B" w14:textId="77777777" w:rsidR="009E66A4" w:rsidRDefault="009E66A4">
            <w:pPr>
              <w:jc w:val="left"/>
              <w:rPr>
                <w:sz w:val="20"/>
                <w:szCs w:val="20"/>
              </w:rPr>
            </w:pPr>
            <w:r w:rsidRPr="00096006">
              <w:rPr>
                <w:b/>
                <w:sz w:val="20"/>
                <w:szCs w:val="20"/>
              </w:rPr>
              <w:t>Ferrous Metals Processing</w:t>
            </w:r>
            <w:r w:rsidR="007B08E3" w:rsidRPr="00096006">
              <w:rPr>
                <w:b/>
                <w:sz w:val="20"/>
                <w:szCs w:val="20"/>
              </w:rPr>
              <w:t xml:space="preserve"> (FMP)</w:t>
            </w:r>
          </w:p>
          <w:p w14:paraId="13DDA13C" w14:textId="77777777" w:rsidR="009E66A4" w:rsidRDefault="009E66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(first BREF adopted </w:t>
            </w:r>
            <w:r w:rsidR="000C2D3A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2001)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14:paraId="13DDA13D" w14:textId="77777777" w:rsidR="009E66A4" w:rsidRPr="005F0973" w:rsidRDefault="00EA2B90">
            <w:pPr>
              <w:jc w:val="center"/>
              <w:rPr>
                <w:sz w:val="20"/>
                <w:szCs w:val="20"/>
              </w:rPr>
            </w:pPr>
            <w:r w:rsidRPr="005F0973">
              <w:rPr>
                <w:sz w:val="20"/>
                <w:szCs w:val="20"/>
              </w:rPr>
              <w:t>201</w:t>
            </w:r>
            <w:r w:rsidR="00D72225" w:rsidRPr="005F0973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14:paraId="13DDA13E" w14:textId="77777777" w:rsidR="009E66A4" w:rsidRPr="005F0973" w:rsidRDefault="00EA2B90">
            <w:pPr>
              <w:jc w:val="center"/>
              <w:rPr>
                <w:sz w:val="20"/>
                <w:szCs w:val="20"/>
              </w:rPr>
            </w:pPr>
            <w:r w:rsidRPr="005F0973">
              <w:rPr>
                <w:sz w:val="20"/>
                <w:szCs w:val="20"/>
              </w:rPr>
              <w:t>201</w:t>
            </w:r>
            <w:r w:rsidR="0019018F">
              <w:rPr>
                <w:sz w:val="20"/>
                <w:szCs w:val="20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13DDA13F" w14:textId="75C082FD" w:rsidR="009E66A4" w:rsidRDefault="009E66A4" w:rsidP="001E47F8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activation was 2008 but </w:t>
            </w:r>
            <w:r w:rsidR="002D4AA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review </w:t>
            </w:r>
            <w:r w:rsidR="001E47F8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on hold </w:t>
            </w:r>
            <w:r w:rsidR="001E47F8">
              <w:rPr>
                <w:sz w:val="20"/>
                <w:szCs w:val="20"/>
              </w:rPr>
              <w:t>between</w:t>
            </w:r>
            <w:r>
              <w:rPr>
                <w:sz w:val="20"/>
                <w:szCs w:val="20"/>
              </w:rPr>
              <w:t xml:space="preserve"> 2011 </w:t>
            </w:r>
            <w:r w:rsidR="001E47F8">
              <w:rPr>
                <w:sz w:val="20"/>
                <w:szCs w:val="20"/>
              </w:rPr>
              <w:t xml:space="preserve">and 2015 </w:t>
            </w:r>
            <w:r>
              <w:rPr>
                <w:sz w:val="20"/>
                <w:szCs w:val="20"/>
              </w:rPr>
              <w:t>due to heavy workload</w:t>
            </w:r>
          </w:p>
        </w:tc>
      </w:tr>
      <w:tr w:rsidR="009E66A4" w14:paraId="13DDA145" w14:textId="77777777" w:rsidTr="00326285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1" w14:textId="5AA9A38B" w:rsidR="009E66A4" w:rsidRDefault="00520F75" w:rsidP="008F69E0">
            <w:pPr>
              <w:jc w:val="left"/>
              <w:rPr>
                <w:sz w:val="20"/>
                <w:szCs w:val="20"/>
              </w:rPr>
            </w:pPr>
            <w:r w:rsidRPr="00520F75">
              <w:rPr>
                <w:b/>
                <w:sz w:val="20"/>
                <w:szCs w:val="20"/>
              </w:rPr>
              <w:t>Common Waste Gas Treatment in the Chemical Sector (WG</w:t>
            </w:r>
            <w:r w:rsidR="008F69E0">
              <w:rPr>
                <w:b/>
                <w:sz w:val="20"/>
                <w:szCs w:val="20"/>
              </w:rPr>
              <w:t>C</w:t>
            </w:r>
            <w:r w:rsidRPr="00520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2" w14:textId="77777777" w:rsidR="009E66A4" w:rsidRDefault="00473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3" w14:textId="77777777" w:rsidR="009E66A4" w:rsidRDefault="00473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44" w14:textId="7C8E6D1F" w:rsidR="009E66A4" w:rsidRDefault="008F69E0" w:rsidP="0069099C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BREF to be drawn up in order to improve effectiveness and efficiency</w:t>
            </w:r>
            <w:r w:rsidR="0069099C">
              <w:rPr>
                <w:sz w:val="20"/>
                <w:szCs w:val="20"/>
              </w:rPr>
              <w:t xml:space="preserve"> of the review of the chemical</w:t>
            </w:r>
            <w:r w:rsidR="005A1D03">
              <w:rPr>
                <w:sz w:val="20"/>
                <w:szCs w:val="20"/>
              </w:rPr>
              <w:t xml:space="preserve"> BREFs</w:t>
            </w:r>
          </w:p>
        </w:tc>
      </w:tr>
      <w:tr w:rsidR="003C02E9" w14:paraId="13DDA14B" w14:textId="77777777" w:rsidTr="00326285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6" w14:textId="71CE9239" w:rsidR="003C02E9" w:rsidRDefault="003C02E9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Textiles</w:t>
            </w:r>
          </w:p>
          <w:p w14:paraId="13DDA147" w14:textId="77777777" w:rsidR="003C02E9" w:rsidRDefault="003C02E9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2003)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8" w14:textId="38F86855" w:rsidR="003C02E9" w:rsidRDefault="003C02E9" w:rsidP="00326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9" w14:textId="4D29B851" w:rsidR="003C02E9" w:rsidRDefault="003C02E9" w:rsidP="00326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4A" w14:textId="0B079E54" w:rsidR="003C02E9" w:rsidRDefault="003C02E9" w:rsidP="003C02E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C02E9" w14:paraId="13DDA151" w14:textId="77777777" w:rsidTr="00326285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6716" w14:textId="77777777" w:rsidR="000C3CC3" w:rsidRDefault="000C3CC3" w:rsidP="000C3CC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Smitheries and Foundries (SF)</w:t>
            </w:r>
          </w:p>
          <w:p w14:paraId="13DDA14D" w14:textId="6770705A" w:rsidR="003C02E9" w:rsidRDefault="000C3CC3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2005)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E" w14:textId="3035A98B" w:rsidR="003C02E9" w:rsidRDefault="00432068" w:rsidP="007A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4F" w14:textId="4E1F301D" w:rsidR="003C02E9" w:rsidRDefault="00432068" w:rsidP="00E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50" w14:textId="77777777" w:rsidR="003C02E9" w:rsidRDefault="003C02E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32068" w14:paraId="13DDA157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2" w14:textId="77777777" w:rsidR="00432068" w:rsidRPr="005F0973" w:rsidRDefault="00432068" w:rsidP="00263F65">
            <w:pPr>
              <w:jc w:val="left"/>
              <w:rPr>
                <w:bCs/>
                <w:sz w:val="20"/>
                <w:szCs w:val="20"/>
              </w:rPr>
            </w:pPr>
            <w:r w:rsidRPr="005F0973">
              <w:rPr>
                <w:b/>
                <w:sz w:val="20"/>
                <w:szCs w:val="20"/>
              </w:rPr>
              <w:t>Ceramics (CER)</w:t>
            </w:r>
          </w:p>
          <w:p w14:paraId="13DDA153" w14:textId="77777777" w:rsidR="00432068" w:rsidRDefault="00432068" w:rsidP="008E2E60">
            <w:pPr>
              <w:jc w:val="left"/>
              <w:rPr>
                <w:b/>
                <w:sz w:val="20"/>
                <w:szCs w:val="20"/>
              </w:rPr>
            </w:pPr>
            <w:r w:rsidRPr="005F0973">
              <w:rPr>
                <w:bCs/>
                <w:sz w:val="20"/>
                <w:szCs w:val="20"/>
              </w:rPr>
              <w:t>(</w:t>
            </w:r>
            <w:r w:rsidRPr="005F0973">
              <w:rPr>
                <w:sz w:val="20"/>
                <w:szCs w:val="20"/>
              </w:rPr>
              <w:t xml:space="preserve">first BREF </w:t>
            </w:r>
            <w:r w:rsidRPr="005F0973">
              <w:rPr>
                <w:bCs/>
                <w:sz w:val="20"/>
                <w:szCs w:val="20"/>
              </w:rPr>
              <w:t xml:space="preserve">adopted </w:t>
            </w:r>
            <w:r>
              <w:rPr>
                <w:bCs/>
                <w:sz w:val="20"/>
                <w:szCs w:val="20"/>
              </w:rPr>
              <w:t xml:space="preserve">in </w:t>
            </w:r>
            <w:r w:rsidRPr="005F0973">
              <w:rPr>
                <w:bCs/>
                <w:sz w:val="20"/>
                <w:szCs w:val="20"/>
              </w:rPr>
              <w:t>2007)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4" w14:textId="6B8A7B9E" w:rsidR="00432068" w:rsidRDefault="00432068" w:rsidP="007A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5" w14:textId="560A154C" w:rsidR="00432068" w:rsidRDefault="0043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56" w14:textId="77777777" w:rsidR="00432068" w:rsidRDefault="00432068">
            <w:pPr>
              <w:jc w:val="left"/>
              <w:rPr>
                <w:sz w:val="20"/>
                <w:szCs w:val="20"/>
              </w:rPr>
            </w:pPr>
          </w:p>
        </w:tc>
      </w:tr>
      <w:tr w:rsidR="00432068" w14:paraId="13DDA15D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06C9" w14:textId="39C50678" w:rsidR="00432068" w:rsidRPr="00563E46" w:rsidRDefault="00432068" w:rsidP="000C3CC3">
            <w:pPr>
              <w:jc w:val="left"/>
              <w:rPr>
                <w:sz w:val="20"/>
                <w:szCs w:val="20"/>
              </w:rPr>
            </w:pPr>
            <w:r w:rsidRPr="00563E46">
              <w:rPr>
                <w:b/>
                <w:bCs/>
                <w:sz w:val="20"/>
                <w:szCs w:val="20"/>
              </w:rPr>
              <w:t>Slaughterhouses and Animal By-products (SA)</w:t>
            </w:r>
          </w:p>
          <w:p w14:paraId="13DDA159" w14:textId="7CA125F5" w:rsidR="00432068" w:rsidRDefault="00432068" w:rsidP="008E2E60">
            <w:pPr>
              <w:jc w:val="left"/>
              <w:rPr>
                <w:b/>
                <w:sz w:val="20"/>
                <w:szCs w:val="20"/>
              </w:rPr>
            </w:pPr>
            <w:r w:rsidRPr="00563E46">
              <w:rPr>
                <w:bCs/>
                <w:sz w:val="20"/>
                <w:szCs w:val="20"/>
              </w:rPr>
              <w:t>(</w:t>
            </w:r>
            <w:r w:rsidRPr="00563E46">
              <w:rPr>
                <w:sz w:val="20"/>
                <w:szCs w:val="20"/>
              </w:rPr>
              <w:t xml:space="preserve">first BREF </w:t>
            </w:r>
            <w:r w:rsidRPr="00563E46">
              <w:rPr>
                <w:bCs/>
                <w:sz w:val="20"/>
                <w:szCs w:val="20"/>
              </w:rPr>
              <w:t>adopted in 2005)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A" w14:textId="16410296" w:rsidR="00432068" w:rsidRDefault="007A433B" w:rsidP="007A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32068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B" w14:textId="2895BF74" w:rsidR="00432068" w:rsidRDefault="007A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3206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5C" w14:textId="77777777" w:rsidR="00432068" w:rsidRDefault="00432068">
            <w:pPr>
              <w:jc w:val="left"/>
              <w:rPr>
                <w:sz w:val="20"/>
                <w:szCs w:val="20"/>
              </w:rPr>
            </w:pPr>
          </w:p>
        </w:tc>
      </w:tr>
      <w:tr w:rsidR="00432068" w14:paraId="13DDA163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5E" w14:textId="0AB21F1C" w:rsidR="00432068" w:rsidRDefault="00432068" w:rsidP="00527A2D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 Treatment of Metals and Plastics (STM)</w:t>
            </w:r>
          </w:p>
          <w:p w14:paraId="13DDA15F" w14:textId="77777777" w:rsidR="00432068" w:rsidRDefault="00432068" w:rsidP="00527A2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60" w14:textId="392C11EA" w:rsidR="00432068" w:rsidRPr="005F0973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61" w14:textId="31A60675" w:rsidR="00432068" w:rsidRPr="005F0973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62" w14:textId="77777777" w:rsidR="00432068" w:rsidRPr="005F0973" w:rsidRDefault="00432068" w:rsidP="00237674">
            <w:pPr>
              <w:jc w:val="left"/>
              <w:rPr>
                <w:sz w:val="20"/>
                <w:szCs w:val="20"/>
              </w:rPr>
            </w:pPr>
          </w:p>
        </w:tc>
      </w:tr>
      <w:tr w:rsidR="00432068" w14:paraId="13DDA183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76" w14:textId="77777777" w:rsidR="00432068" w:rsidRDefault="00432068" w:rsidP="00994548">
            <w:pPr>
              <w:jc w:val="left"/>
              <w:rPr>
                <w:b/>
                <w:sz w:val="20"/>
                <w:szCs w:val="20"/>
              </w:rPr>
            </w:pPr>
            <w:r w:rsidRPr="00C803A0">
              <w:rPr>
                <w:b/>
                <w:sz w:val="20"/>
                <w:szCs w:val="20"/>
              </w:rPr>
              <w:t>Large Volume Inorganic Chemicals – Ammonia, Acid and Fertilisers (LVIC-AAF</w:t>
            </w:r>
            <w:r>
              <w:rPr>
                <w:b/>
                <w:sz w:val="20"/>
                <w:szCs w:val="20"/>
              </w:rPr>
              <w:t>)</w:t>
            </w:r>
          </w:p>
          <w:p w14:paraId="13DDA177" w14:textId="77777777" w:rsidR="00432068" w:rsidRDefault="00432068" w:rsidP="00C803A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2007)</w:t>
            </w:r>
          </w:p>
          <w:p w14:paraId="13DDA178" w14:textId="77777777" w:rsidR="00432068" w:rsidRDefault="00432068" w:rsidP="00994548">
            <w:pPr>
              <w:jc w:val="left"/>
              <w:rPr>
                <w:b/>
                <w:sz w:val="20"/>
                <w:szCs w:val="20"/>
              </w:rPr>
            </w:pPr>
            <w:r w:rsidRPr="00C803A0">
              <w:rPr>
                <w:b/>
                <w:sz w:val="20"/>
                <w:szCs w:val="20"/>
              </w:rPr>
              <w:t>Large Volume Inorganic Chemica</w:t>
            </w:r>
            <w:r>
              <w:rPr>
                <w:b/>
                <w:sz w:val="20"/>
                <w:szCs w:val="20"/>
              </w:rPr>
              <w:t>ls – Solids and others (LVIC-S)</w:t>
            </w:r>
          </w:p>
          <w:p w14:paraId="13DDA179" w14:textId="77777777" w:rsidR="00432068" w:rsidRDefault="00432068" w:rsidP="0099454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2007)</w:t>
            </w:r>
          </w:p>
          <w:p w14:paraId="13DDA17A" w14:textId="77777777" w:rsidR="00432068" w:rsidRDefault="00432068" w:rsidP="009945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Polymers (POL)</w:t>
            </w:r>
          </w:p>
          <w:p w14:paraId="13DDA17B" w14:textId="77777777" w:rsidR="00432068" w:rsidRDefault="00432068" w:rsidP="0099454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2007)</w:t>
            </w:r>
          </w:p>
          <w:p w14:paraId="13DDA17C" w14:textId="77777777" w:rsidR="00432068" w:rsidRDefault="0043206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Speciality Inorganic Chemicals (SIC)</w:t>
            </w:r>
          </w:p>
          <w:p w14:paraId="13DDA17D" w14:textId="77777777" w:rsidR="00432068" w:rsidRDefault="0043206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2007)</w:t>
            </w:r>
          </w:p>
          <w:p w14:paraId="13DDA17E" w14:textId="77777777" w:rsidR="00432068" w:rsidRDefault="00432068" w:rsidP="009945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Fine Chemicals (OFC)</w:t>
            </w:r>
          </w:p>
          <w:p w14:paraId="13DDA17F" w14:textId="77777777" w:rsidR="00432068" w:rsidRDefault="00432068" w:rsidP="00994548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first BREF </w:t>
            </w:r>
            <w:r>
              <w:rPr>
                <w:bCs/>
                <w:sz w:val="20"/>
                <w:szCs w:val="20"/>
              </w:rPr>
              <w:t>adopted in 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80" w14:textId="600FCC14" w:rsidR="00432068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A181" w14:textId="17CBF34A" w:rsidR="00432068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182" w14:textId="15B2D472" w:rsidR="00432068" w:rsidRPr="008E2E60" w:rsidRDefault="00B246AC" w:rsidP="00B246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an i</w:t>
            </w:r>
            <w:r w:rsidR="00432068">
              <w:rPr>
                <w:sz w:val="20"/>
                <w:szCs w:val="20"/>
              </w:rPr>
              <w:t>nformation exchange on selected products/processes/</w:t>
            </w:r>
            <w:r w:rsidR="00432068" w:rsidRPr="000414C8">
              <w:rPr>
                <w:sz w:val="20"/>
                <w:szCs w:val="20"/>
              </w:rPr>
              <w:t xml:space="preserve">subsectors </w:t>
            </w:r>
            <w:r w:rsidR="00432068">
              <w:rPr>
                <w:sz w:val="20"/>
                <w:szCs w:val="20"/>
              </w:rPr>
              <w:t>giving</w:t>
            </w:r>
            <w:r w:rsidR="00432068" w:rsidRPr="000414C8">
              <w:rPr>
                <w:sz w:val="20"/>
                <w:szCs w:val="20"/>
              </w:rPr>
              <w:t xml:space="preserve"> specific consideration</w:t>
            </w:r>
            <w:r w:rsidR="00432068" w:rsidRPr="0049771C">
              <w:rPr>
                <w:sz w:val="20"/>
                <w:szCs w:val="20"/>
              </w:rPr>
              <w:t xml:space="preserve"> to the </w:t>
            </w:r>
            <w:r w:rsidR="00432068">
              <w:rPr>
                <w:sz w:val="20"/>
                <w:szCs w:val="20"/>
              </w:rPr>
              <w:t xml:space="preserve">progress and </w:t>
            </w:r>
            <w:r w:rsidR="00432068" w:rsidRPr="0049771C">
              <w:rPr>
                <w:sz w:val="20"/>
                <w:szCs w:val="20"/>
              </w:rPr>
              <w:t>outcome of the</w:t>
            </w:r>
            <w:r w:rsidR="00432068">
              <w:rPr>
                <w:sz w:val="20"/>
                <w:szCs w:val="20"/>
              </w:rPr>
              <w:t xml:space="preserve"> </w:t>
            </w:r>
            <w:r w:rsidR="00432068" w:rsidRPr="000414C8">
              <w:rPr>
                <w:sz w:val="20"/>
                <w:szCs w:val="20"/>
              </w:rPr>
              <w:t>WG</w:t>
            </w:r>
            <w:r w:rsidR="00432068">
              <w:rPr>
                <w:sz w:val="20"/>
                <w:szCs w:val="20"/>
              </w:rPr>
              <w:t xml:space="preserve">C BREF </w:t>
            </w:r>
          </w:p>
        </w:tc>
      </w:tr>
      <w:tr w:rsidR="00432068" w14:paraId="2DC50208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6693" w14:textId="41635F0E" w:rsidR="00432068" w:rsidRPr="005F5763" w:rsidRDefault="00432068" w:rsidP="00115A33">
            <w:pPr>
              <w:jc w:val="left"/>
              <w:rPr>
                <w:bCs/>
                <w:sz w:val="20"/>
                <w:szCs w:val="20"/>
              </w:rPr>
            </w:pPr>
            <w:r w:rsidRPr="005F5763">
              <w:rPr>
                <w:b/>
                <w:sz w:val="20"/>
                <w:szCs w:val="20"/>
              </w:rPr>
              <w:t>Industrial Cooling Systems</w:t>
            </w:r>
          </w:p>
          <w:p w14:paraId="5176F2EA" w14:textId="77777777" w:rsidR="00432068" w:rsidRPr="005F5763" w:rsidRDefault="00432068" w:rsidP="00115A33">
            <w:pPr>
              <w:jc w:val="left"/>
              <w:rPr>
                <w:bCs/>
                <w:sz w:val="20"/>
                <w:szCs w:val="20"/>
              </w:rPr>
            </w:pPr>
            <w:r w:rsidRPr="005F5763">
              <w:rPr>
                <w:bCs/>
                <w:sz w:val="20"/>
                <w:szCs w:val="20"/>
              </w:rPr>
              <w:t>(</w:t>
            </w:r>
            <w:r w:rsidRPr="005F5763">
              <w:rPr>
                <w:sz w:val="20"/>
                <w:szCs w:val="20"/>
              </w:rPr>
              <w:t xml:space="preserve">first document </w:t>
            </w:r>
            <w:r w:rsidRPr="005F5763">
              <w:rPr>
                <w:bCs/>
                <w:sz w:val="20"/>
                <w:szCs w:val="20"/>
              </w:rPr>
              <w:t>adopted in 2001)</w:t>
            </w:r>
          </w:p>
          <w:p w14:paraId="5B51C8DB" w14:textId="77777777" w:rsidR="00432068" w:rsidRPr="005F5763" w:rsidRDefault="00432068" w:rsidP="00115A33">
            <w:pPr>
              <w:jc w:val="left"/>
              <w:rPr>
                <w:b/>
                <w:sz w:val="20"/>
                <w:szCs w:val="20"/>
              </w:rPr>
            </w:pPr>
            <w:r w:rsidRPr="005F5763">
              <w:rPr>
                <w:bCs/>
                <w:sz w:val="20"/>
                <w:szCs w:val="20"/>
              </w:rPr>
              <w:t>and</w:t>
            </w:r>
          </w:p>
          <w:p w14:paraId="6B936F32" w14:textId="77777777" w:rsidR="00432068" w:rsidRPr="005F5763" w:rsidRDefault="00432068" w:rsidP="00115A33">
            <w:pPr>
              <w:jc w:val="left"/>
              <w:rPr>
                <w:bCs/>
                <w:sz w:val="20"/>
                <w:szCs w:val="20"/>
              </w:rPr>
            </w:pPr>
            <w:r w:rsidRPr="005F5763">
              <w:rPr>
                <w:b/>
                <w:sz w:val="20"/>
                <w:szCs w:val="20"/>
              </w:rPr>
              <w:t>Energy Efficiency</w:t>
            </w:r>
          </w:p>
          <w:p w14:paraId="2B04666C" w14:textId="1CA1F47D" w:rsidR="00432068" w:rsidRPr="005F5763" w:rsidRDefault="00432068">
            <w:pPr>
              <w:jc w:val="left"/>
              <w:rPr>
                <w:b/>
                <w:bCs/>
                <w:sz w:val="20"/>
                <w:szCs w:val="20"/>
              </w:rPr>
            </w:pPr>
            <w:r w:rsidRPr="005F5763">
              <w:rPr>
                <w:bCs/>
                <w:sz w:val="20"/>
                <w:szCs w:val="20"/>
              </w:rPr>
              <w:t>(</w:t>
            </w:r>
            <w:r w:rsidRPr="005F5763">
              <w:rPr>
                <w:sz w:val="20"/>
                <w:szCs w:val="20"/>
              </w:rPr>
              <w:t xml:space="preserve">first BREF </w:t>
            </w:r>
            <w:r w:rsidRPr="005F5763">
              <w:rPr>
                <w:bCs/>
                <w:sz w:val="20"/>
                <w:szCs w:val="20"/>
              </w:rPr>
              <w:t>adopted in 2009)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FD99" w14:textId="6F3F39EF" w:rsidR="00432068" w:rsidRPr="005F5763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B18B" w14:textId="470FD1B9" w:rsidR="00432068" w:rsidRPr="005F5763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0EF8" w14:textId="0A1BE0B0" w:rsidR="00432068" w:rsidRPr="005F5763" w:rsidRDefault="007A433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possible of m</w:t>
            </w:r>
            <w:r w:rsidRPr="005F5763">
              <w:rPr>
                <w:sz w:val="20"/>
                <w:szCs w:val="20"/>
              </w:rPr>
              <w:t xml:space="preserve">erging of these two BREFs </w:t>
            </w:r>
            <w:r>
              <w:rPr>
                <w:sz w:val="20"/>
                <w:szCs w:val="20"/>
              </w:rPr>
              <w:t>and complementing it with</w:t>
            </w:r>
            <w:r w:rsidRPr="005F57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other aspects related to r</w:t>
            </w:r>
            <w:r w:rsidRPr="005F5763">
              <w:rPr>
                <w:sz w:val="20"/>
                <w:szCs w:val="20"/>
              </w:rPr>
              <w:t xml:space="preserve">esource </w:t>
            </w:r>
            <w:r>
              <w:rPr>
                <w:sz w:val="20"/>
                <w:szCs w:val="20"/>
              </w:rPr>
              <w:t>e</w:t>
            </w:r>
            <w:r w:rsidRPr="005F5763">
              <w:rPr>
                <w:sz w:val="20"/>
                <w:szCs w:val="20"/>
              </w:rPr>
              <w:t>fficiency</w:t>
            </w:r>
            <w:r>
              <w:rPr>
                <w:sz w:val="20"/>
                <w:szCs w:val="20"/>
              </w:rPr>
              <w:t xml:space="preserve"> (raw materials use and </w:t>
            </w:r>
            <w:r w:rsidRPr="005F5763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>-</w:t>
            </w:r>
            <w:r w:rsidRPr="005F5763">
              <w:rPr>
                <w:sz w:val="20"/>
                <w:szCs w:val="20"/>
              </w:rPr>
              <w:t>saving</w:t>
            </w:r>
            <w:r>
              <w:rPr>
                <w:sz w:val="20"/>
                <w:szCs w:val="20"/>
              </w:rPr>
              <w:t>) will be further considered taking into account the Circular Economy Package</w:t>
            </w:r>
          </w:p>
        </w:tc>
      </w:tr>
      <w:tr w:rsidR="00432068" w14:paraId="03EB2D1F" w14:textId="77777777" w:rsidTr="00D05A38">
        <w:trPr>
          <w:cantSplit/>
          <w:jc w:val="center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9908" w14:textId="631AC7EE" w:rsidR="00432068" w:rsidRDefault="00432068" w:rsidP="00115A33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Emissions from Storage (EFS)</w:t>
            </w:r>
          </w:p>
          <w:p w14:paraId="483391AE" w14:textId="383BA44C" w:rsidR="00432068" w:rsidRDefault="0043206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(first BREF adopted in 2006)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90E8" w14:textId="124FB65E" w:rsidR="00432068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062C" w14:textId="1713F03E" w:rsidR="00432068" w:rsidRDefault="0043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A36C" w14:textId="3970D22C" w:rsidR="00432068" w:rsidRDefault="0043206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13DDA189" w14:textId="77777777" w:rsidR="009E66A4" w:rsidRDefault="009E66A4">
      <w:pPr>
        <w:rPr>
          <w:b/>
          <w:bCs/>
          <w:sz w:val="20"/>
          <w:szCs w:val="20"/>
        </w:rPr>
      </w:pPr>
    </w:p>
    <w:p w14:paraId="0C857AB4" w14:textId="77777777" w:rsidR="00B01209" w:rsidRDefault="00B01209"/>
    <w:sectPr w:rsidR="00B01209" w:rsidSect="004E5358">
      <w:footerReference w:type="default" r:id="rId14"/>
      <w:pgSz w:w="16838" w:h="11906" w:orient="landscape"/>
      <w:pgMar w:top="155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75C5" w14:textId="77777777" w:rsidR="00887FF9" w:rsidRDefault="00887FF9">
      <w:r>
        <w:separator/>
      </w:r>
    </w:p>
  </w:endnote>
  <w:endnote w:type="continuationSeparator" w:id="0">
    <w:p w14:paraId="484022B9" w14:textId="77777777" w:rsidR="00887FF9" w:rsidRDefault="00887FF9">
      <w:r>
        <w:continuationSeparator/>
      </w:r>
    </w:p>
  </w:endnote>
  <w:endnote w:type="continuationNotice" w:id="1">
    <w:p w14:paraId="72D5D737" w14:textId="77777777" w:rsidR="00887FF9" w:rsidRDefault="00887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A1A4" w14:textId="43E5C09C" w:rsidR="003B1CEF" w:rsidRDefault="003B1CEF" w:rsidP="00D05A38">
    <w:pPr>
      <w:pStyle w:val="Footer"/>
      <w:tabs>
        <w:tab w:val="clear" w:pos="8505"/>
        <w:tab w:val="right" w:pos="9120"/>
      </w:tabs>
    </w:pPr>
    <w:r>
      <w:t xml:space="preserve">Work programme under IED Article 13(3)(b) for 2016 (and outlook beyond) – </w:t>
    </w:r>
    <w:r w:rsidR="00382CA4">
      <w:t>2</w:t>
    </w:r>
    <w:r w:rsidR="00A11CC8">
      <w:t>9</w:t>
    </w:r>
    <w:r w:rsidR="00382CA4">
      <w:t xml:space="preserve"> January 2016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0EF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A1A5" w14:textId="071A58FB" w:rsidR="003B1CEF" w:rsidRDefault="009C2E2F" w:rsidP="00E47C65">
    <w:pPr>
      <w:pStyle w:val="Footer"/>
      <w:tabs>
        <w:tab w:val="clear" w:pos="8505"/>
        <w:tab w:val="right" w:pos="14640"/>
      </w:tabs>
    </w:pPr>
    <w:r>
      <w:t xml:space="preserve">Work programme under IED Article 13(3)(b) for 2016 (and outlook beyond) – </w:t>
    </w:r>
    <w:r w:rsidR="007A433B">
      <w:t>2</w:t>
    </w:r>
    <w:r w:rsidR="00A11CC8">
      <w:t>9</w:t>
    </w:r>
    <w:r w:rsidR="007A433B">
      <w:t xml:space="preserve"> January 2016</w:t>
    </w:r>
    <w:r w:rsidR="003B1CEF">
      <w:tab/>
    </w:r>
    <w:r w:rsidR="003B1CEF">
      <w:rPr>
        <w:rStyle w:val="PageNumber"/>
      </w:rPr>
      <w:fldChar w:fldCharType="begin"/>
    </w:r>
    <w:r w:rsidR="003B1CEF">
      <w:rPr>
        <w:rStyle w:val="PageNumber"/>
      </w:rPr>
      <w:instrText xml:space="preserve"> PAGE </w:instrText>
    </w:r>
    <w:r w:rsidR="003B1CEF">
      <w:rPr>
        <w:rStyle w:val="PageNumber"/>
      </w:rPr>
      <w:fldChar w:fldCharType="separate"/>
    </w:r>
    <w:r w:rsidR="008D0EFC">
      <w:rPr>
        <w:rStyle w:val="PageNumber"/>
        <w:noProof/>
      </w:rPr>
      <w:t>7</w:t>
    </w:r>
    <w:r w:rsidR="003B1CE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367C" w14:textId="77777777" w:rsidR="00887FF9" w:rsidRDefault="00887FF9">
      <w:r>
        <w:separator/>
      </w:r>
    </w:p>
  </w:footnote>
  <w:footnote w:type="continuationSeparator" w:id="0">
    <w:p w14:paraId="7BC143B9" w14:textId="77777777" w:rsidR="00887FF9" w:rsidRDefault="00887FF9">
      <w:r>
        <w:continuationSeparator/>
      </w:r>
    </w:p>
  </w:footnote>
  <w:footnote w:type="continuationNotice" w:id="1">
    <w:p w14:paraId="58423888" w14:textId="77777777" w:rsidR="00887FF9" w:rsidRDefault="00887FF9"/>
  </w:footnote>
  <w:footnote w:id="2">
    <w:p w14:paraId="13DDA1A6" w14:textId="77777777" w:rsidR="003B1CEF" w:rsidRPr="009C2E2F" w:rsidRDefault="003B1CEF" w:rsidP="009C2E2F">
      <w:pPr>
        <w:pStyle w:val="FootnoteText"/>
        <w:spacing w:after="60"/>
        <w:ind w:left="142" w:hanging="142"/>
        <w:rPr>
          <w:sz w:val="16"/>
          <w:szCs w:val="16"/>
        </w:rPr>
      </w:pPr>
      <w:r w:rsidRPr="009C2E2F">
        <w:rPr>
          <w:rStyle w:val="Voetnoottekens"/>
          <w:sz w:val="16"/>
          <w:szCs w:val="16"/>
        </w:rPr>
        <w:footnoteRef/>
      </w:r>
      <w:r w:rsidRPr="009C2E2F">
        <w:rPr>
          <w:sz w:val="16"/>
          <w:szCs w:val="16"/>
        </w:rPr>
        <w:t xml:space="preserve"> Directive 2010/75/EU of the European Parliament and of the Council of 24 November 2010 on industrial emissions (integrated pollution prevention and control) (Recast), OJ L 334/17 of 17.12.2010.</w:t>
      </w:r>
    </w:p>
  </w:footnote>
  <w:footnote w:id="3">
    <w:p w14:paraId="0FC088E9" w14:textId="0AE2C456" w:rsidR="003B1CEF" w:rsidRPr="009C2E2F" w:rsidRDefault="003B1CEF" w:rsidP="009C2E2F">
      <w:pPr>
        <w:pStyle w:val="FootnoteText"/>
        <w:spacing w:after="60"/>
        <w:rPr>
          <w:sz w:val="16"/>
          <w:szCs w:val="16"/>
        </w:rPr>
      </w:pPr>
      <w:r w:rsidRPr="009C2E2F">
        <w:rPr>
          <w:rStyle w:val="FootnoteReference"/>
          <w:sz w:val="16"/>
          <w:szCs w:val="16"/>
        </w:rPr>
        <w:footnoteRef/>
      </w:r>
      <w:r w:rsidRPr="009C2E2F">
        <w:rPr>
          <w:sz w:val="16"/>
          <w:szCs w:val="16"/>
        </w:rPr>
        <w:t xml:space="preserve"> </w:t>
      </w:r>
      <w:r w:rsidR="00536336" w:rsidRPr="009C2E2F">
        <w:rPr>
          <w:sz w:val="16"/>
          <w:szCs w:val="16"/>
        </w:rPr>
        <w:t>Discussion document "Criteria for identifying key environmental issues for the review of BAT reference documents under Article 13(3)(b) of the IED"</w:t>
      </w:r>
      <w:r w:rsidR="00382CA4">
        <w:rPr>
          <w:sz w:val="16"/>
          <w:szCs w:val="16"/>
        </w:rPr>
        <w:t xml:space="preserve"> presented at the IED Article 13 forum meeting of 19 October 2015</w:t>
      </w:r>
      <w:r w:rsidR="00103C5A">
        <w:rPr>
          <w:sz w:val="16"/>
          <w:szCs w:val="16"/>
        </w:rPr>
        <w:t>.</w:t>
      </w:r>
    </w:p>
  </w:footnote>
  <w:footnote w:id="4">
    <w:p w14:paraId="1D3668B0" w14:textId="73973740" w:rsidR="00382CA4" w:rsidRPr="0036487C" w:rsidRDefault="00382CA4">
      <w:pPr>
        <w:pStyle w:val="FootnoteText"/>
        <w:rPr>
          <w:sz w:val="16"/>
          <w:szCs w:val="16"/>
        </w:rPr>
      </w:pPr>
      <w:r w:rsidRPr="001E47F8">
        <w:rPr>
          <w:rStyle w:val="FootnoteReference"/>
          <w:sz w:val="16"/>
          <w:szCs w:val="16"/>
        </w:rPr>
        <w:footnoteRef/>
      </w:r>
      <w:r w:rsidRPr="001E47F8">
        <w:rPr>
          <w:sz w:val="16"/>
          <w:szCs w:val="16"/>
        </w:rPr>
        <w:t xml:space="preserve"> </w:t>
      </w:r>
      <w:r w:rsidRPr="0036487C">
        <w:rPr>
          <w:sz w:val="16"/>
          <w:szCs w:val="16"/>
        </w:rPr>
        <w:t xml:space="preserve">The </w:t>
      </w:r>
      <w:r w:rsidR="0036487C">
        <w:rPr>
          <w:sz w:val="16"/>
          <w:szCs w:val="16"/>
        </w:rPr>
        <w:t xml:space="preserve">WBP </w:t>
      </w:r>
      <w:r w:rsidRPr="0036487C">
        <w:rPr>
          <w:sz w:val="16"/>
          <w:szCs w:val="16"/>
        </w:rPr>
        <w:t xml:space="preserve">BAT conclusions were adopted on 20 November 2015 </w:t>
      </w:r>
      <w:r w:rsidRPr="00B37120">
        <w:rPr>
          <w:sz w:val="16"/>
          <w:szCs w:val="16"/>
        </w:rPr>
        <w:t xml:space="preserve">and the </w:t>
      </w:r>
      <w:r w:rsidR="0036487C">
        <w:rPr>
          <w:sz w:val="16"/>
          <w:szCs w:val="16"/>
        </w:rPr>
        <w:t xml:space="preserve">WBP </w:t>
      </w:r>
      <w:r w:rsidRPr="0036487C">
        <w:rPr>
          <w:sz w:val="16"/>
          <w:szCs w:val="16"/>
        </w:rPr>
        <w:t>BREF w</w:t>
      </w:r>
      <w:r w:rsidRPr="00B37120">
        <w:rPr>
          <w:sz w:val="16"/>
          <w:szCs w:val="16"/>
        </w:rPr>
        <w:t>ill be published in the next months.</w:t>
      </w:r>
    </w:p>
  </w:footnote>
  <w:footnote w:id="5">
    <w:p w14:paraId="11D1DF19" w14:textId="0747233A" w:rsidR="00B5711C" w:rsidRPr="009C2E2F" w:rsidRDefault="00B5711C" w:rsidP="009C2E2F">
      <w:pPr>
        <w:pStyle w:val="FootnoteText"/>
        <w:spacing w:after="60"/>
        <w:rPr>
          <w:sz w:val="16"/>
        </w:rPr>
      </w:pPr>
      <w:r w:rsidRPr="009C2E2F">
        <w:rPr>
          <w:rStyle w:val="FootnoteReference"/>
          <w:sz w:val="16"/>
        </w:rPr>
        <w:footnoteRef/>
      </w:r>
      <w:r w:rsidRPr="009C2E2F">
        <w:rPr>
          <w:sz w:val="16"/>
        </w:rPr>
        <w:t xml:space="preserve"> </w:t>
      </w:r>
      <w:r w:rsidR="00D02741">
        <w:rPr>
          <w:sz w:val="16"/>
        </w:rPr>
        <w:t>T</w:t>
      </w:r>
      <w:r w:rsidRPr="009C2E2F">
        <w:rPr>
          <w:sz w:val="16"/>
        </w:rPr>
        <w:t>he objective of launching four reviews per year was related to maintaining an eight-year review cycle for the BREFs with the current cycle to be finalised by 2020. I</w:t>
      </w:r>
      <w:r w:rsidR="00D02741">
        <w:rPr>
          <w:sz w:val="16"/>
        </w:rPr>
        <w:t>f</w:t>
      </w:r>
      <w:r w:rsidRPr="009C2E2F">
        <w:rPr>
          <w:sz w:val="16"/>
        </w:rPr>
        <w:t xml:space="preserve"> only two BREF reviews </w:t>
      </w:r>
      <w:r w:rsidR="00D02741">
        <w:rPr>
          <w:sz w:val="16"/>
        </w:rPr>
        <w:t>were</w:t>
      </w:r>
      <w:r w:rsidRPr="009C2E2F">
        <w:rPr>
          <w:sz w:val="16"/>
        </w:rPr>
        <w:t xml:space="preserve"> launched per year, this </w:t>
      </w:r>
      <w:r w:rsidR="00D02741">
        <w:rPr>
          <w:sz w:val="16"/>
        </w:rPr>
        <w:t>would</w:t>
      </w:r>
      <w:r w:rsidR="00D02741" w:rsidRPr="009C2E2F">
        <w:rPr>
          <w:sz w:val="16"/>
        </w:rPr>
        <w:t xml:space="preserve"> </w:t>
      </w:r>
      <w:r w:rsidRPr="009C2E2F">
        <w:rPr>
          <w:sz w:val="16"/>
        </w:rPr>
        <w:t xml:space="preserve">mean that the last BREF review in this cycle will not be started before 2020 and ending in 2023 at the earliest; </w:t>
      </w:r>
      <w:r w:rsidR="00D02741">
        <w:rPr>
          <w:sz w:val="16"/>
        </w:rPr>
        <w:t>if</w:t>
      </w:r>
      <w:r w:rsidRPr="009C2E2F">
        <w:rPr>
          <w:sz w:val="16"/>
        </w:rPr>
        <w:t xml:space="preserve"> three BREF reviews </w:t>
      </w:r>
      <w:r w:rsidR="00D02741">
        <w:rPr>
          <w:sz w:val="16"/>
        </w:rPr>
        <w:t>wer</w:t>
      </w:r>
      <w:r w:rsidRPr="009C2E2F">
        <w:rPr>
          <w:sz w:val="16"/>
        </w:rPr>
        <w:t xml:space="preserve">e launched, this cycle </w:t>
      </w:r>
      <w:r w:rsidR="00D02741">
        <w:rPr>
          <w:sz w:val="16"/>
        </w:rPr>
        <w:t>would</w:t>
      </w:r>
      <w:r w:rsidR="00D02741" w:rsidRPr="009C2E2F">
        <w:rPr>
          <w:sz w:val="16"/>
        </w:rPr>
        <w:t xml:space="preserve"> </w:t>
      </w:r>
      <w:r w:rsidRPr="009C2E2F">
        <w:rPr>
          <w:sz w:val="16"/>
        </w:rPr>
        <w:t>end around 2021.</w:t>
      </w:r>
    </w:p>
  </w:footnote>
  <w:footnote w:id="6">
    <w:p w14:paraId="709AE5C1" w14:textId="1C62269A" w:rsidR="003B1CEF" w:rsidRPr="00626DA8" w:rsidRDefault="003B1CEF" w:rsidP="009C2E2F">
      <w:pPr>
        <w:pStyle w:val="FootnoteText"/>
        <w:spacing w:after="60"/>
        <w:rPr>
          <w:sz w:val="16"/>
          <w:szCs w:val="16"/>
        </w:rPr>
      </w:pPr>
      <w:r w:rsidRPr="00626DA8">
        <w:rPr>
          <w:rStyle w:val="FootnoteReference"/>
          <w:sz w:val="16"/>
          <w:szCs w:val="16"/>
        </w:rPr>
        <w:footnoteRef/>
      </w:r>
      <w:r w:rsidRPr="00626DA8">
        <w:rPr>
          <w:sz w:val="16"/>
          <w:szCs w:val="16"/>
        </w:rPr>
        <w:t xml:space="preserve"> These are: CWW (Common Waste Water and Waste Gas Treatment/Management Systems in the Chemical Sector), CAK (Production of Chlor-Alkali) and LVOC (Large Volume Organic Chemical industry).</w:t>
      </w:r>
    </w:p>
  </w:footnote>
  <w:footnote w:id="7">
    <w:p w14:paraId="1D46A3AB" w14:textId="77777777" w:rsidR="003B1CEF" w:rsidRPr="00626DA8" w:rsidRDefault="003B1CEF" w:rsidP="009C2E2F">
      <w:pPr>
        <w:pStyle w:val="FootnoteText"/>
        <w:spacing w:after="60"/>
        <w:rPr>
          <w:sz w:val="16"/>
          <w:szCs w:val="16"/>
        </w:rPr>
      </w:pPr>
      <w:r w:rsidRPr="00626DA8">
        <w:rPr>
          <w:rStyle w:val="FootnoteReference"/>
          <w:sz w:val="16"/>
          <w:szCs w:val="16"/>
        </w:rPr>
        <w:footnoteRef/>
      </w:r>
      <w:r w:rsidRPr="00626DA8">
        <w:rPr>
          <w:sz w:val="16"/>
          <w:szCs w:val="16"/>
        </w:rPr>
        <w:t xml:space="preserve"> Eur</w:t>
      </w:r>
      <w:r w:rsidRPr="00933F44">
        <w:rPr>
          <w:sz w:val="16"/>
          <w:szCs w:val="16"/>
        </w:rPr>
        <w:t>opean Commission, Working document: Reconsideration of the '</w:t>
      </w:r>
      <w:r w:rsidRPr="00933F44">
        <w:rPr>
          <w:i/>
          <w:sz w:val="16"/>
          <w:szCs w:val="16"/>
        </w:rPr>
        <w:t>Strate</w:t>
      </w:r>
      <w:r w:rsidRPr="00F22D89">
        <w:rPr>
          <w:i/>
          <w:sz w:val="16"/>
          <w:szCs w:val="16"/>
        </w:rPr>
        <w:t>gy to re</w:t>
      </w:r>
      <w:r w:rsidRPr="00C82A54">
        <w:rPr>
          <w:i/>
          <w:sz w:val="16"/>
          <w:szCs w:val="16"/>
        </w:rPr>
        <w:t>view the chemical BREFs</w:t>
      </w:r>
      <w:r w:rsidRPr="00C82A54">
        <w:rPr>
          <w:sz w:val="16"/>
          <w:szCs w:val="16"/>
        </w:rPr>
        <w:t xml:space="preserve">', September 2014; Comments of forum members, October 2014. </w:t>
      </w:r>
      <w:hyperlink r:id="rId1" w:history="1">
        <w:r w:rsidRPr="00626DA8">
          <w:rPr>
            <w:rStyle w:val="Hyperlink"/>
            <w:sz w:val="16"/>
            <w:szCs w:val="16"/>
          </w:rPr>
          <w:t>https://circabc.europa.eu/w/browse/81589c9f-2e62-4a40-843f-acbaf451c336</w:t>
        </w:r>
      </w:hyperlink>
      <w:r w:rsidRPr="00626DA8">
        <w:rPr>
          <w:sz w:val="16"/>
          <w:szCs w:val="16"/>
        </w:rPr>
        <w:t xml:space="preserve">. </w:t>
      </w:r>
    </w:p>
  </w:footnote>
  <w:footnote w:id="8">
    <w:p w14:paraId="0A55ED85" w14:textId="7CC792E5" w:rsidR="003B1CEF" w:rsidRPr="00626DA8" w:rsidRDefault="003B1CEF" w:rsidP="009C2E2F">
      <w:pPr>
        <w:pStyle w:val="FootnoteText"/>
        <w:spacing w:after="60"/>
        <w:rPr>
          <w:sz w:val="16"/>
          <w:szCs w:val="16"/>
        </w:rPr>
      </w:pPr>
      <w:r w:rsidRPr="00626DA8">
        <w:rPr>
          <w:rStyle w:val="FootnoteReference"/>
          <w:sz w:val="16"/>
          <w:szCs w:val="16"/>
        </w:rPr>
        <w:footnoteRef/>
      </w:r>
      <w:r w:rsidRPr="00626DA8">
        <w:rPr>
          <w:sz w:val="16"/>
          <w:szCs w:val="16"/>
        </w:rPr>
        <w:t xml:space="preserve"> European IPPC Bureau: Reconsid</w:t>
      </w:r>
      <w:r w:rsidRPr="00933F44">
        <w:rPr>
          <w:sz w:val="16"/>
          <w:szCs w:val="16"/>
        </w:rPr>
        <w:t>eration of the '</w:t>
      </w:r>
      <w:r w:rsidRPr="00626DA8">
        <w:rPr>
          <w:sz w:val="16"/>
          <w:szCs w:val="16"/>
        </w:rPr>
        <w:t xml:space="preserve">Strategy to review the chemical BREFs' – </w:t>
      </w:r>
      <w:r w:rsidRPr="00933F44">
        <w:rPr>
          <w:sz w:val="16"/>
          <w:szCs w:val="16"/>
        </w:rPr>
        <w:t>Further reflections on the principle 'Generic BAT if possible', De</w:t>
      </w:r>
      <w:r w:rsidRPr="00F22D89">
        <w:rPr>
          <w:sz w:val="16"/>
          <w:szCs w:val="16"/>
        </w:rPr>
        <w:t>cember 2</w:t>
      </w:r>
      <w:r w:rsidRPr="00C82A54">
        <w:rPr>
          <w:sz w:val="16"/>
          <w:szCs w:val="16"/>
        </w:rPr>
        <w:t>014; Comments</w:t>
      </w:r>
      <w:r w:rsidRPr="00F4283C">
        <w:rPr>
          <w:sz w:val="16"/>
          <w:szCs w:val="16"/>
        </w:rPr>
        <w:t xml:space="preserve"> of forum member</w:t>
      </w:r>
      <w:r>
        <w:rPr>
          <w:sz w:val="16"/>
          <w:szCs w:val="16"/>
        </w:rPr>
        <w:t>s</w:t>
      </w:r>
      <w:r w:rsidRPr="00F4283C">
        <w:rPr>
          <w:sz w:val="16"/>
          <w:szCs w:val="16"/>
        </w:rPr>
        <w:t xml:space="preserve">, January 2015. </w:t>
      </w:r>
      <w:hyperlink r:id="rId2" w:history="1">
        <w:r w:rsidRPr="00F4283C">
          <w:rPr>
            <w:rStyle w:val="Hyperlink"/>
            <w:sz w:val="16"/>
            <w:szCs w:val="16"/>
          </w:rPr>
          <w:t>https://circabc.europa.eu/w/browse/84b358a5-eda0-4812-8247-3a7eb02af577</w:t>
        </w:r>
      </w:hyperlink>
      <w:r w:rsidRPr="003C02E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pStyle w:val="StyleHeading5Left0Firstline0"/>
      <w:lvlText w:val="/%1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/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/%5"/>
      <w:lvlJc w:val="left"/>
      <w:pPr>
        <w:tabs>
          <w:tab w:val="num" w:pos="1440"/>
        </w:tabs>
        <w:ind w:left="2016" w:hanging="57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26"/>
    <w:lvl w:ilvl="0">
      <w:start w:val="1"/>
      <w:numFmt w:val="decimal"/>
      <w:pStyle w:val="AppendixStyle"/>
      <w:lvlText w:val="Appendix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pStyle w:val="StyleHeading5Before0ptAfter6pt"/>
      <w:lvlText w:val="/%1"/>
      <w:lvlJc w:val="left"/>
      <w:pPr>
        <w:tabs>
          <w:tab w:val="num" w:pos="-1440"/>
        </w:tabs>
        <w:ind w:left="1440" w:firstLine="0"/>
      </w:pPr>
      <w:rPr>
        <w:color w:val="auto"/>
        <w:sz w:val="24"/>
      </w:rPr>
    </w:lvl>
    <w:lvl w:ilvl="1">
      <w:start w:val="1"/>
      <w:numFmt w:val="decimal"/>
      <w:lvlText w:val="/%2"/>
      <w:lvlJc w:val="left"/>
      <w:pPr>
        <w:tabs>
          <w:tab w:val="num" w:pos="-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/%5"/>
      <w:lvlJc w:val="left"/>
      <w:pPr>
        <w:tabs>
          <w:tab w:val="num" w:pos="0"/>
        </w:tabs>
        <w:ind w:left="397" w:hanging="39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6" w15:restartNumberingAfterBreak="0">
    <w:nsid w:val="00000011"/>
    <w:multiLevelType w:val="multilevel"/>
    <w:tmpl w:val="00000011"/>
    <w:name w:val="WW8Num33"/>
    <w:lvl w:ilvl="0">
      <w:start w:val="1"/>
      <w:numFmt w:val="decimal"/>
      <w:pStyle w:val="My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bullet"/>
      <w:pStyle w:val="Table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38"/>
    <w:lvl w:ilvl="0">
      <w:start w:val="1"/>
      <w:numFmt w:val="none"/>
      <w:pStyle w:val="NormalItem"/>
      <w:suff w:val="nothing"/>
      <w:lvlText w:val=""/>
      <w:lvlJc w:val="left"/>
      <w:pPr>
        <w:tabs>
          <w:tab w:val="num" w:pos="0"/>
        </w:tabs>
        <w:ind w:left="397" w:hanging="397"/>
      </w:pPr>
      <w:rPr>
        <w:rFonts w:ascii="Wingdings" w:hAnsi="Wingdings" w:cs="Wingdings"/>
        <w:sz w:val="14"/>
      </w:rPr>
    </w:lvl>
  </w:abstractNum>
  <w:abstractNum w:abstractNumId="19" w15:restartNumberingAfterBreak="0">
    <w:nsid w:val="00000014"/>
    <w:multiLevelType w:val="multilevel"/>
    <w:tmpl w:val="00000014"/>
    <w:name w:val="WW8Num42"/>
    <w:lvl w:ilvl="0">
      <w:start w:val="1"/>
      <w:numFmt w:val="upperLetter"/>
      <w:pStyle w:val="Appendix2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04" w:hanging="504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648" w:hanging="648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</w:lvl>
    <w:lvl w:ilvl="4">
      <w:start w:val="1"/>
      <w:numFmt w:val="upperLetter"/>
      <w:suff w:val="space"/>
      <w:lvlText w:val="%1.%2.%3.%4.%5."/>
      <w:lvlJc w:val="left"/>
      <w:pPr>
        <w:tabs>
          <w:tab w:val="num" w:pos="0"/>
        </w:tabs>
        <w:ind w:left="2232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2" w15:restartNumberingAfterBreak="0">
    <w:nsid w:val="02023281"/>
    <w:multiLevelType w:val="hybridMultilevel"/>
    <w:tmpl w:val="971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3D6D39"/>
    <w:multiLevelType w:val="hybridMultilevel"/>
    <w:tmpl w:val="E69A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775326"/>
    <w:multiLevelType w:val="hybridMultilevel"/>
    <w:tmpl w:val="639C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73285"/>
    <w:multiLevelType w:val="hybridMultilevel"/>
    <w:tmpl w:val="43207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F0107"/>
    <w:multiLevelType w:val="hybridMultilevel"/>
    <w:tmpl w:val="4966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54FB3"/>
    <w:multiLevelType w:val="hybridMultilevel"/>
    <w:tmpl w:val="F8C42D10"/>
    <w:lvl w:ilvl="0" w:tplc="47D2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76C37"/>
    <w:multiLevelType w:val="hybridMultilevel"/>
    <w:tmpl w:val="7C3A2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3234F"/>
    <w:multiLevelType w:val="hybridMultilevel"/>
    <w:tmpl w:val="AF1E9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7949"/>
    <w:multiLevelType w:val="hybridMultilevel"/>
    <w:tmpl w:val="81B0D6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72383"/>
    <w:multiLevelType w:val="hybridMultilevel"/>
    <w:tmpl w:val="0D3CF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B7A9D"/>
    <w:multiLevelType w:val="hybridMultilevel"/>
    <w:tmpl w:val="40E62658"/>
    <w:lvl w:ilvl="0" w:tplc="08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750F0F2B"/>
    <w:multiLevelType w:val="hybridMultilevel"/>
    <w:tmpl w:val="35D0FA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AD8"/>
    <w:multiLevelType w:val="hybridMultilevel"/>
    <w:tmpl w:val="B94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30"/>
  </w:num>
  <w:num w:numId="25">
    <w:abstractNumId w:val="33"/>
  </w:num>
  <w:num w:numId="26">
    <w:abstractNumId w:val="24"/>
  </w:num>
  <w:num w:numId="27">
    <w:abstractNumId w:val="34"/>
  </w:num>
  <w:num w:numId="28">
    <w:abstractNumId w:val="22"/>
  </w:num>
  <w:num w:numId="29">
    <w:abstractNumId w:val="23"/>
  </w:num>
  <w:num w:numId="30">
    <w:abstractNumId w:val="26"/>
  </w:num>
  <w:num w:numId="31">
    <w:abstractNumId w:val="31"/>
  </w:num>
  <w:num w:numId="32">
    <w:abstractNumId w:val="29"/>
  </w:num>
  <w:num w:numId="33">
    <w:abstractNumId w:val="32"/>
  </w:num>
  <w:num w:numId="34">
    <w:abstractNumId w:val="28"/>
  </w:num>
  <w:num w:numId="35">
    <w:abstractNumId w:val="27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3132A"/>
    <w:rsid w:val="00011F4B"/>
    <w:rsid w:val="000155F1"/>
    <w:rsid w:val="000207CE"/>
    <w:rsid w:val="00022DF0"/>
    <w:rsid w:val="000307A6"/>
    <w:rsid w:val="000402B1"/>
    <w:rsid w:val="000414C8"/>
    <w:rsid w:val="00060E32"/>
    <w:rsid w:val="00075168"/>
    <w:rsid w:val="000841C5"/>
    <w:rsid w:val="00096006"/>
    <w:rsid w:val="000A0C30"/>
    <w:rsid w:val="000A590C"/>
    <w:rsid w:val="000C2D3A"/>
    <w:rsid w:val="000C3CC3"/>
    <w:rsid w:val="000D439E"/>
    <w:rsid w:val="000D444D"/>
    <w:rsid w:val="000F1573"/>
    <w:rsid w:val="00103C5A"/>
    <w:rsid w:val="00115A33"/>
    <w:rsid w:val="00123F10"/>
    <w:rsid w:val="00127471"/>
    <w:rsid w:val="00131262"/>
    <w:rsid w:val="00133F0F"/>
    <w:rsid w:val="0014693C"/>
    <w:rsid w:val="00150276"/>
    <w:rsid w:val="00154906"/>
    <w:rsid w:val="00155E01"/>
    <w:rsid w:val="001560A9"/>
    <w:rsid w:val="00161A7C"/>
    <w:rsid w:val="001636B6"/>
    <w:rsid w:val="0016404E"/>
    <w:rsid w:val="001712EA"/>
    <w:rsid w:val="001730EF"/>
    <w:rsid w:val="00176AFE"/>
    <w:rsid w:val="00177943"/>
    <w:rsid w:val="0019018F"/>
    <w:rsid w:val="001925C9"/>
    <w:rsid w:val="00197142"/>
    <w:rsid w:val="001A1A6D"/>
    <w:rsid w:val="001A4E92"/>
    <w:rsid w:val="001B73B3"/>
    <w:rsid w:val="001C16B7"/>
    <w:rsid w:val="001E47F8"/>
    <w:rsid w:val="001E523C"/>
    <w:rsid w:val="001F0454"/>
    <w:rsid w:val="001F3B27"/>
    <w:rsid w:val="001F5415"/>
    <w:rsid w:val="00202371"/>
    <w:rsid w:val="002047FF"/>
    <w:rsid w:val="00210099"/>
    <w:rsid w:val="00210561"/>
    <w:rsid w:val="00216877"/>
    <w:rsid w:val="00217DC6"/>
    <w:rsid w:val="00224702"/>
    <w:rsid w:val="00224ADF"/>
    <w:rsid w:val="00233171"/>
    <w:rsid w:val="00237035"/>
    <w:rsid w:val="00237674"/>
    <w:rsid w:val="00256D06"/>
    <w:rsid w:val="002607D4"/>
    <w:rsid w:val="00260BA8"/>
    <w:rsid w:val="002611C1"/>
    <w:rsid w:val="00263F65"/>
    <w:rsid w:val="00273A4A"/>
    <w:rsid w:val="00281CD8"/>
    <w:rsid w:val="002821E1"/>
    <w:rsid w:val="00282D9E"/>
    <w:rsid w:val="00283478"/>
    <w:rsid w:val="002A0B2C"/>
    <w:rsid w:val="002A1F19"/>
    <w:rsid w:val="002A5A46"/>
    <w:rsid w:val="002A6E1F"/>
    <w:rsid w:val="002B4255"/>
    <w:rsid w:val="002D3EAC"/>
    <w:rsid w:val="002D4AAE"/>
    <w:rsid w:val="002E4501"/>
    <w:rsid w:val="002E7149"/>
    <w:rsid w:val="002F1BF1"/>
    <w:rsid w:val="002F63BF"/>
    <w:rsid w:val="00313505"/>
    <w:rsid w:val="00313CCE"/>
    <w:rsid w:val="0032097D"/>
    <w:rsid w:val="00322BB4"/>
    <w:rsid w:val="003256E6"/>
    <w:rsid w:val="00325710"/>
    <w:rsid w:val="00325F51"/>
    <w:rsid w:val="00326285"/>
    <w:rsid w:val="00332798"/>
    <w:rsid w:val="00334753"/>
    <w:rsid w:val="003365C3"/>
    <w:rsid w:val="00340FA3"/>
    <w:rsid w:val="00342F5E"/>
    <w:rsid w:val="0034564A"/>
    <w:rsid w:val="00350C0F"/>
    <w:rsid w:val="0036487C"/>
    <w:rsid w:val="003652C3"/>
    <w:rsid w:val="003714F1"/>
    <w:rsid w:val="00375085"/>
    <w:rsid w:val="00382CA4"/>
    <w:rsid w:val="003A3273"/>
    <w:rsid w:val="003A33EE"/>
    <w:rsid w:val="003B1CEF"/>
    <w:rsid w:val="003B33E4"/>
    <w:rsid w:val="003B56D6"/>
    <w:rsid w:val="003C02E9"/>
    <w:rsid w:val="003C034C"/>
    <w:rsid w:val="003C05EF"/>
    <w:rsid w:val="003C08BF"/>
    <w:rsid w:val="003C45DF"/>
    <w:rsid w:val="003C6DF0"/>
    <w:rsid w:val="003E213B"/>
    <w:rsid w:val="003F09E0"/>
    <w:rsid w:val="003F0AA5"/>
    <w:rsid w:val="003F4738"/>
    <w:rsid w:val="003F575A"/>
    <w:rsid w:val="00406577"/>
    <w:rsid w:val="004249D6"/>
    <w:rsid w:val="0043132A"/>
    <w:rsid w:val="00432068"/>
    <w:rsid w:val="004338D8"/>
    <w:rsid w:val="00460E0A"/>
    <w:rsid w:val="0046535D"/>
    <w:rsid w:val="00470D73"/>
    <w:rsid w:val="00473118"/>
    <w:rsid w:val="00481C8F"/>
    <w:rsid w:val="00487052"/>
    <w:rsid w:val="004A0842"/>
    <w:rsid w:val="004A44E3"/>
    <w:rsid w:val="004A68D5"/>
    <w:rsid w:val="004C224A"/>
    <w:rsid w:val="004E061B"/>
    <w:rsid w:val="004E3A98"/>
    <w:rsid w:val="004E5358"/>
    <w:rsid w:val="004E7BCD"/>
    <w:rsid w:val="004F1EDE"/>
    <w:rsid w:val="004F7162"/>
    <w:rsid w:val="005021F7"/>
    <w:rsid w:val="00504F75"/>
    <w:rsid w:val="00506A62"/>
    <w:rsid w:val="00507330"/>
    <w:rsid w:val="00520F75"/>
    <w:rsid w:val="00523C3D"/>
    <w:rsid w:val="00523F46"/>
    <w:rsid w:val="005255D2"/>
    <w:rsid w:val="00527A2D"/>
    <w:rsid w:val="00536336"/>
    <w:rsid w:val="00546A35"/>
    <w:rsid w:val="00550C25"/>
    <w:rsid w:val="00554077"/>
    <w:rsid w:val="005629B1"/>
    <w:rsid w:val="00563E46"/>
    <w:rsid w:val="0056743A"/>
    <w:rsid w:val="005717EB"/>
    <w:rsid w:val="00573213"/>
    <w:rsid w:val="00574292"/>
    <w:rsid w:val="0057691A"/>
    <w:rsid w:val="00586CAF"/>
    <w:rsid w:val="005A1D03"/>
    <w:rsid w:val="005A42DC"/>
    <w:rsid w:val="005A78E0"/>
    <w:rsid w:val="005B40F9"/>
    <w:rsid w:val="005B591A"/>
    <w:rsid w:val="005C4CD0"/>
    <w:rsid w:val="005D3BA0"/>
    <w:rsid w:val="005D4D98"/>
    <w:rsid w:val="005D7E09"/>
    <w:rsid w:val="005E1B16"/>
    <w:rsid w:val="005E4567"/>
    <w:rsid w:val="005E7110"/>
    <w:rsid w:val="005F0973"/>
    <w:rsid w:val="005F5763"/>
    <w:rsid w:val="005F6AE2"/>
    <w:rsid w:val="00603BC5"/>
    <w:rsid w:val="00604CDD"/>
    <w:rsid w:val="00607A8D"/>
    <w:rsid w:val="00613CBF"/>
    <w:rsid w:val="006220CD"/>
    <w:rsid w:val="00625498"/>
    <w:rsid w:val="00626DA8"/>
    <w:rsid w:val="0063092B"/>
    <w:rsid w:val="00633C95"/>
    <w:rsid w:val="0064015C"/>
    <w:rsid w:val="006469BD"/>
    <w:rsid w:val="006532C3"/>
    <w:rsid w:val="00655534"/>
    <w:rsid w:val="00663C3E"/>
    <w:rsid w:val="0069099C"/>
    <w:rsid w:val="0069115F"/>
    <w:rsid w:val="0069548D"/>
    <w:rsid w:val="00697210"/>
    <w:rsid w:val="006B6550"/>
    <w:rsid w:val="006D0ADC"/>
    <w:rsid w:val="006D4D8A"/>
    <w:rsid w:val="006D62AD"/>
    <w:rsid w:val="006F0E56"/>
    <w:rsid w:val="006F5EE2"/>
    <w:rsid w:val="007058D5"/>
    <w:rsid w:val="00713F13"/>
    <w:rsid w:val="007350DA"/>
    <w:rsid w:val="007357CA"/>
    <w:rsid w:val="00753A91"/>
    <w:rsid w:val="00754101"/>
    <w:rsid w:val="00754DD2"/>
    <w:rsid w:val="0075578A"/>
    <w:rsid w:val="007610D1"/>
    <w:rsid w:val="00763E89"/>
    <w:rsid w:val="00764BF6"/>
    <w:rsid w:val="00767B74"/>
    <w:rsid w:val="007713B7"/>
    <w:rsid w:val="007722F6"/>
    <w:rsid w:val="007769DD"/>
    <w:rsid w:val="007864A4"/>
    <w:rsid w:val="00790549"/>
    <w:rsid w:val="007A0DCA"/>
    <w:rsid w:val="007A433B"/>
    <w:rsid w:val="007A68AE"/>
    <w:rsid w:val="007B08E3"/>
    <w:rsid w:val="007B1AF5"/>
    <w:rsid w:val="007C3344"/>
    <w:rsid w:val="007D7260"/>
    <w:rsid w:val="007D7DDE"/>
    <w:rsid w:val="007E5970"/>
    <w:rsid w:val="008030D4"/>
    <w:rsid w:val="008120D4"/>
    <w:rsid w:val="00817D83"/>
    <w:rsid w:val="00830112"/>
    <w:rsid w:val="00831939"/>
    <w:rsid w:val="00837910"/>
    <w:rsid w:val="00842B82"/>
    <w:rsid w:val="00845CCA"/>
    <w:rsid w:val="00852F9E"/>
    <w:rsid w:val="00853236"/>
    <w:rsid w:val="008759FF"/>
    <w:rsid w:val="00877A00"/>
    <w:rsid w:val="00887FF9"/>
    <w:rsid w:val="008940F9"/>
    <w:rsid w:val="00896988"/>
    <w:rsid w:val="00897383"/>
    <w:rsid w:val="008A34DE"/>
    <w:rsid w:val="008A4A6E"/>
    <w:rsid w:val="008A665C"/>
    <w:rsid w:val="008B4BFF"/>
    <w:rsid w:val="008C262F"/>
    <w:rsid w:val="008D0EFC"/>
    <w:rsid w:val="008D1416"/>
    <w:rsid w:val="008E2E60"/>
    <w:rsid w:val="008F2E56"/>
    <w:rsid w:val="008F69E0"/>
    <w:rsid w:val="00900556"/>
    <w:rsid w:val="009022DD"/>
    <w:rsid w:val="00907217"/>
    <w:rsid w:val="00915EEB"/>
    <w:rsid w:val="009215EF"/>
    <w:rsid w:val="0092635B"/>
    <w:rsid w:val="00933F44"/>
    <w:rsid w:val="00935611"/>
    <w:rsid w:val="0095092A"/>
    <w:rsid w:val="00952D29"/>
    <w:rsid w:val="00972F4D"/>
    <w:rsid w:val="00975479"/>
    <w:rsid w:val="00983993"/>
    <w:rsid w:val="00992F70"/>
    <w:rsid w:val="00994548"/>
    <w:rsid w:val="00995D11"/>
    <w:rsid w:val="009A500C"/>
    <w:rsid w:val="009A5D3F"/>
    <w:rsid w:val="009A7810"/>
    <w:rsid w:val="009B076C"/>
    <w:rsid w:val="009C2E2F"/>
    <w:rsid w:val="009E36A7"/>
    <w:rsid w:val="009E66A4"/>
    <w:rsid w:val="009F208F"/>
    <w:rsid w:val="00A11120"/>
    <w:rsid w:val="00A11CC8"/>
    <w:rsid w:val="00A16F11"/>
    <w:rsid w:val="00A27EED"/>
    <w:rsid w:val="00A32C04"/>
    <w:rsid w:val="00A40F11"/>
    <w:rsid w:val="00A43C17"/>
    <w:rsid w:val="00A45BDF"/>
    <w:rsid w:val="00A54F5B"/>
    <w:rsid w:val="00A62DB5"/>
    <w:rsid w:val="00A643E1"/>
    <w:rsid w:val="00A74FA1"/>
    <w:rsid w:val="00A80344"/>
    <w:rsid w:val="00A820B3"/>
    <w:rsid w:val="00A83765"/>
    <w:rsid w:val="00A9190D"/>
    <w:rsid w:val="00A95FEA"/>
    <w:rsid w:val="00AA625F"/>
    <w:rsid w:val="00AB7F9F"/>
    <w:rsid w:val="00AC3107"/>
    <w:rsid w:val="00AC74EB"/>
    <w:rsid w:val="00AC7891"/>
    <w:rsid w:val="00AD192A"/>
    <w:rsid w:val="00AD50C2"/>
    <w:rsid w:val="00AD5A74"/>
    <w:rsid w:val="00AE78DC"/>
    <w:rsid w:val="00AF237C"/>
    <w:rsid w:val="00AF4135"/>
    <w:rsid w:val="00B01209"/>
    <w:rsid w:val="00B02B28"/>
    <w:rsid w:val="00B04FF6"/>
    <w:rsid w:val="00B05E3E"/>
    <w:rsid w:val="00B06ADF"/>
    <w:rsid w:val="00B10841"/>
    <w:rsid w:val="00B1537D"/>
    <w:rsid w:val="00B24209"/>
    <w:rsid w:val="00B246AC"/>
    <w:rsid w:val="00B24B75"/>
    <w:rsid w:val="00B252EA"/>
    <w:rsid w:val="00B30E89"/>
    <w:rsid w:val="00B3278E"/>
    <w:rsid w:val="00B33670"/>
    <w:rsid w:val="00B37120"/>
    <w:rsid w:val="00B503DD"/>
    <w:rsid w:val="00B5711C"/>
    <w:rsid w:val="00B5778E"/>
    <w:rsid w:val="00B64A93"/>
    <w:rsid w:val="00B655F2"/>
    <w:rsid w:val="00B675B8"/>
    <w:rsid w:val="00B769B9"/>
    <w:rsid w:val="00BA4C07"/>
    <w:rsid w:val="00BA617B"/>
    <w:rsid w:val="00BB1913"/>
    <w:rsid w:val="00BC7229"/>
    <w:rsid w:val="00BD085B"/>
    <w:rsid w:val="00BD087B"/>
    <w:rsid w:val="00BD1DE3"/>
    <w:rsid w:val="00BD3D37"/>
    <w:rsid w:val="00BD4FCE"/>
    <w:rsid w:val="00BE139B"/>
    <w:rsid w:val="00BE423F"/>
    <w:rsid w:val="00BE4C3A"/>
    <w:rsid w:val="00BF1EAF"/>
    <w:rsid w:val="00BF6FB9"/>
    <w:rsid w:val="00C0062B"/>
    <w:rsid w:val="00C21273"/>
    <w:rsid w:val="00C42458"/>
    <w:rsid w:val="00C44F12"/>
    <w:rsid w:val="00C803A0"/>
    <w:rsid w:val="00C82A54"/>
    <w:rsid w:val="00C86175"/>
    <w:rsid w:val="00C87A88"/>
    <w:rsid w:val="00C92520"/>
    <w:rsid w:val="00CA61E9"/>
    <w:rsid w:val="00CA66B0"/>
    <w:rsid w:val="00CB0B49"/>
    <w:rsid w:val="00CB7975"/>
    <w:rsid w:val="00CC7FDD"/>
    <w:rsid w:val="00CD2735"/>
    <w:rsid w:val="00D02741"/>
    <w:rsid w:val="00D05A38"/>
    <w:rsid w:val="00D372B1"/>
    <w:rsid w:val="00D378AC"/>
    <w:rsid w:val="00D4421B"/>
    <w:rsid w:val="00D47BCD"/>
    <w:rsid w:val="00D51FDD"/>
    <w:rsid w:val="00D60A1D"/>
    <w:rsid w:val="00D61058"/>
    <w:rsid w:val="00D6160E"/>
    <w:rsid w:val="00D72225"/>
    <w:rsid w:val="00D724F7"/>
    <w:rsid w:val="00D72851"/>
    <w:rsid w:val="00D72D52"/>
    <w:rsid w:val="00D747E0"/>
    <w:rsid w:val="00DA12EF"/>
    <w:rsid w:val="00DA4D3E"/>
    <w:rsid w:val="00DB18AC"/>
    <w:rsid w:val="00DC1588"/>
    <w:rsid w:val="00DC1B92"/>
    <w:rsid w:val="00DD01B6"/>
    <w:rsid w:val="00DD4BB2"/>
    <w:rsid w:val="00DD7E74"/>
    <w:rsid w:val="00DF068F"/>
    <w:rsid w:val="00DF08F4"/>
    <w:rsid w:val="00DF4F8C"/>
    <w:rsid w:val="00E021AE"/>
    <w:rsid w:val="00E11CAF"/>
    <w:rsid w:val="00E26B31"/>
    <w:rsid w:val="00E271CF"/>
    <w:rsid w:val="00E47642"/>
    <w:rsid w:val="00E47C65"/>
    <w:rsid w:val="00E5131C"/>
    <w:rsid w:val="00E62F42"/>
    <w:rsid w:val="00E739D1"/>
    <w:rsid w:val="00E754D7"/>
    <w:rsid w:val="00E83ABB"/>
    <w:rsid w:val="00E90852"/>
    <w:rsid w:val="00E97E62"/>
    <w:rsid w:val="00EA2B90"/>
    <w:rsid w:val="00EA7594"/>
    <w:rsid w:val="00EB0A17"/>
    <w:rsid w:val="00EC0007"/>
    <w:rsid w:val="00EC3A92"/>
    <w:rsid w:val="00EC4861"/>
    <w:rsid w:val="00EC4B72"/>
    <w:rsid w:val="00ED2E67"/>
    <w:rsid w:val="00ED34BD"/>
    <w:rsid w:val="00EE63AA"/>
    <w:rsid w:val="00EF5F03"/>
    <w:rsid w:val="00F021F2"/>
    <w:rsid w:val="00F139C5"/>
    <w:rsid w:val="00F1509A"/>
    <w:rsid w:val="00F176A9"/>
    <w:rsid w:val="00F21962"/>
    <w:rsid w:val="00F22D89"/>
    <w:rsid w:val="00F33899"/>
    <w:rsid w:val="00F36E0B"/>
    <w:rsid w:val="00F4283C"/>
    <w:rsid w:val="00F440D8"/>
    <w:rsid w:val="00F53BED"/>
    <w:rsid w:val="00F60A99"/>
    <w:rsid w:val="00F74F73"/>
    <w:rsid w:val="00F82483"/>
    <w:rsid w:val="00F8757C"/>
    <w:rsid w:val="00F87A3E"/>
    <w:rsid w:val="00F903E9"/>
    <w:rsid w:val="00FA7A30"/>
    <w:rsid w:val="00FB0B31"/>
    <w:rsid w:val="00FB2409"/>
    <w:rsid w:val="00FC4AE3"/>
    <w:rsid w:val="00FC55CE"/>
    <w:rsid w:val="00FD7FAB"/>
    <w:rsid w:val="00FE5474"/>
    <w:rsid w:val="00FF1475"/>
    <w:rsid w:val="00FF1DAA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3DDA0A6"/>
  <w15:docId w15:val="{C0A050BF-74C3-4F31-B82C-D978E49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jc w:val="left"/>
      <w:outlineLvl w:val="0"/>
    </w:pPr>
    <w:rPr>
      <w:rFonts w:ascii="Arial" w:hAnsi="Arial" w:cs="Arial"/>
      <w:b/>
      <w:caps/>
      <w:kern w:val="1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jc w:val="left"/>
      <w:outlineLvl w:val="1"/>
    </w:pPr>
    <w:rPr>
      <w:rFonts w:ascii="Arial" w:hAnsi="Arial" w:cs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rFonts w:ascii="Arial" w:hAnsi="Arial" w:cs="Arial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left"/>
      <w:outlineLvl w:val="3"/>
    </w:pPr>
    <w:rPr>
      <w:rFonts w:ascii="Arial" w:hAnsi="Arial" w:cs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701"/>
      </w:tabs>
      <w:jc w:val="left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985"/>
      </w:tabs>
      <w:jc w:val="left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2268"/>
      </w:tabs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color w:val="auto"/>
      <w:sz w:val="24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sz w:val="22"/>
    </w:rPr>
  </w:style>
  <w:style w:type="character" w:customStyle="1" w:styleId="WW8Num25z0">
    <w:name w:val="WW8Num25z0"/>
    <w:rPr>
      <w:rFonts w:ascii="Symbol" w:hAnsi="Symbol" w:cs="Symbol"/>
      <w:sz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color w:val="auto"/>
      <w:sz w:val="24"/>
    </w:rPr>
  </w:style>
  <w:style w:type="character" w:customStyle="1" w:styleId="WW8Num31z0">
    <w:name w:val="WW8Num31z0"/>
    <w:rPr>
      <w:rFonts w:ascii="Symbol" w:hAnsi="Symbol" w:cs="Symbol"/>
      <w:sz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sz w:val="22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2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Courier New" w:hAnsi="Courier New" w:cs="Courier New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14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sz w:val="22"/>
    </w:rPr>
  </w:style>
  <w:style w:type="character" w:customStyle="1" w:styleId="WW8Num41z0">
    <w:name w:val="WW8Num41z0"/>
    <w:rPr>
      <w:sz w:val="22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Courier New" w:hAnsi="Courier New" w:cs="Courier New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Voetnoottekens">
    <w:name w:val="Voetnoottekens"/>
    <w:rPr>
      <w:vertAlign w:val="superscript"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ListBulletChar">
    <w:name w:val="List Bullet Char"/>
    <w:rPr>
      <w:sz w:val="22"/>
      <w:szCs w:val="24"/>
      <w:lang w:val="en-GB" w:eastAsia="ar-SA" w:bidi="ar-SA"/>
    </w:rPr>
  </w:style>
  <w:style w:type="character" w:customStyle="1" w:styleId="Heading3Char">
    <w:name w:val="Heading 3 Char"/>
    <w:rPr>
      <w:rFonts w:ascii="Arial" w:hAnsi="Arial" w:cs="Arial"/>
      <w:b/>
      <w:sz w:val="24"/>
      <w:lang w:val="en-GB" w:eastAsia="ar-SA" w:bidi="ar-SA"/>
    </w:rPr>
  </w:style>
  <w:style w:type="character" w:customStyle="1" w:styleId="Char">
    <w:name w:val="Char"/>
    <w:rPr>
      <w:rFonts w:ascii="Century Gothic" w:hAnsi="Century Gothic" w:cs="Century Gothic"/>
      <w:b/>
      <w:color w:val="000066"/>
      <w:sz w:val="24"/>
      <w:szCs w:val="24"/>
      <w:lang w:val="de-DE" w:eastAsia="ar-SA" w:bidi="ar-SA"/>
    </w:rPr>
  </w:style>
  <w:style w:type="character" w:customStyle="1" w:styleId="CommentReference1">
    <w:name w:val="Comment Reference1"/>
    <w:rPr>
      <w:sz w:val="16"/>
    </w:rPr>
  </w:style>
  <w:style w:type="character" w:customStyle="1" w:styleId="Heading2Char">
    <w:name w:val="Heading 2 Char"/>
    <w:rPr>
      <w:rFonts w:ascii="Arial" w:hAnsi="Arial" w:cs="Arial"/>
      <w:b/>
      <w:sz w:val="28"/>
      <w:lang w:val="en-GB" w:eastAsia="ar-SA" w:bidi="ar-SA"/>
    </w:rPr>
  </w:style>
  <w:style w:type="character" w:customStyle="1" w:styleId="FootnoteTextChar">
    <w:name w:val="Footnote Text Char"/>
    <w:rPr>
      <w:sz w:val="22"/>
      <w:szCs w:val="24"/>
      <w:lang w:val="en-GB" w:eastAsia="ar-SA" w:bidi="ar-SA"/>
    </w:rPr>
  </w:style>
  <w:style w:type="character" w:customStyle="1" w:styleId="CaptioncommentChar">
    <w:name w:val="Caption comment Char"/>
    <w:rPr>
      <w:kern w:val="1"/>
      <w:sz w:val="22"/>
      <w:szCs w:val="24"/>
      <w:lang w:val="en-GB" w:eastAsia="ar-SA" w:bidi="ar-SA"/>
    </w:rPr>
  </w:style>
  <w:style w:type="character" w:styleId="Emphasis">
    <w:name w:val="Emphasis"/>
    <w:qFormat/>
    <w:rPr>
      <w:i/>
    </w:rPr>
  </w:style>
  <w:style w:type="character" w:customStyle="1" w:styleId="CharChar4">
    <w:name w:val="Char Char4"/>
    <w:rPr>
      <w:rFonts w:ascii="Arial" w:hAnsi="Arial" w:cs="Arial"/>
      <w:b/>
      <w:sz w:val="24"/>
      <w:lang w:val="en-GB" w:eastAsia="ar-SA" w:bidi="ar-SA"/>
    </w:rPr>
  </w:style>
  <w:style w:type="character" w:customStyle="1" w:styleId="CaptionChar">
    <w:name w:val="Caption Char"/>
    <w:rPr>
      <w:b/>
      <w:bCs/>
      <w:lang w:val="en-GB" w:eastAsia="ar-SA" w:bidi="ar-SA"/>
    </w:rPr>
  </w:style>
  <w:style w:type="character" w:customStyle="1" w:styleId="CaptioncommentsChar">
    <w:name w:val="Caption comments Char"/>
    <w:rPr>
      <w:b/>
      <w:lang w:val="en-GB" w:eastAsia="ar-SA" w:bidi="ar-SA"/>
    </w:rPr>
  </w:style>
  <w:style w:type="character" w:customStyle="1" w:styleId="Eindnoottekens">
    <w:name w:val="Eindnootteken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b/>
      <w:szCs w:val="24"/>
      <w:lang w:val="en-GB" w:eastAsia="ar-SA" w:bidi="ar-SA"/>
    </w:rPr>
  </w:style>
  <w:style w:type="character" w:customStyle="1" w:styleId="NormalTextChar">
    <w:name w:val="Normal Text Char"/>
    <w:rPr>
      <w:kern w:val="1"/>
      <w:sz w:val="22"/>
      <w:lang w:val="en-GB" w:eastAsia="ar-SA" w:bidi="ar-SA"/>
    </w:rPr>
  </w:style>
  <w:style w:type="character" w:customStyle="1" w:styleId="Heading1Char">
    <w:name w:val="Heading 1 Char"/>
    <w:rPr>
      <w:rFonts w:ascii="Arial" w:hAnsi="Arial" w:cs="Arial"/>
      <w:b/>
      <w:caps/>
      <w:kern w:val="1"/>
      <w:sz w:val="28"/>
      <w:lang w:val="en-GB" w:eastAsia="ar-SA" w:bidi="ar-SA"/>
    </w:rPr>
  </w:style>
  <w:style w:type="character" w:customStyle="1" w:styleId="Heading2Char1">
    <w:name w:val="Heading 2 Char1"/>
    <w:rPr>
      <w:rFonts w:ascii="Arial" w:hAnsi="Arial" w:cs="Arial"/>
      <w:b/>
      <w:sz w:val="28"/>
      <w:lang w:val="en-GB" w:eastAsia="ar-SA" w:bidi="ar-SA"/>
    </w:rPr>
  </w:style>
  <w:style w:type="character" w:customStyle="1" w:styleId="Heading4Char">
    <w:name w:val="Heading 4 Char"/>
    <w:rPr>
      <w:rFonts w:ascii="Arial" w:hAnsi="Arial" w:cs="Arial"/>
      <w:b/>
      <w:sz w:val="22"/>
      <w:lang w:val="en-GB" w:eastAsia="ar-SA" w:bidi="ar-SA"/>
    </w:rPr>
  </w:style>
  <w:style w:type="character" w:customStyle="1" w:styleId="Heading5Char">
    <w:name w:val="Heading 5 Char"/>
    <w:rPr>
      <w:rFonts w:ascii="Arial" w:hAnsi="Arial" w:cs="Arial"/>
      <w:b/>
      <w:lang w:val="en-GB" w:eastAsia="ar-SA" w:bidi="ar-SA"/>
    </w:rPr>
  </w:style>
  <w:style w:type="character" w:customStyle="1" w:styleId="Heading6Char">
    <w:name w:val="Heading 6 Char"/>
    <w:rPr>
      <w:rFonts w:ascii="Arial" w:hAnsi="Arial" w:cs="Arial"/>
      <w:lang w:val="en-GB" w:eastAsia="ar-SA" w:bidi="ar-SA"/>
    </w:rPr>
  </w:style>
  <w:style w:type="character" w:customStyle="1" w:styleId="HTMLAcronym1">
    <w:name w:val="HTML Acronym1"/>
    <w:basedOn w:val="DefaultParagraphFont1"/>
  </w:style>
  <w:style w:type="character" w:customStyle="1" w:styleId="HTMLCite1">
    <w:name w:val="HTML Cite1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customStyle="1" w:styleId="HTMLKeyboard1">
    <w:name w:val="HTML Keyboard1"/>
    <w:rPr>
      <w:rFonts w:ascii="Courier New" w:hAnsi="Courier New" w:cs="Courier New"/>
      <w:sz w:val="20"/>
      <w:szCs w:val="20"/>
    </w:rPr>
  </w:style>
  <w:style w:type="character" w:customStyle="1" w:styleId="HTMLSample1">
    <w:name w:val="HTML Sample1"/>
    <w:rPr>
      <w:rFonts w:ascii="Courier New" w:hAnsi="Courier New" w:cs="Courier New"/>
    </w:rPr>
  </w:style>
  <w:style w:type="character" w:customStyle="1" w:styleId="HTMLTypewriter1">
    <w:name w:val="HTML Typewriter1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LineNumber">
    <w:name w:val="line number"/>
    <w:basedOn w:val="DefaultParagraphFont1"/>
  </w:style>
  <w:style w:type="character" w:styleId="Strong">
    <w:name w:val="Strong"/>
    <w:qFormat/>
    <w:rPr>
      <w:b/>
      <w:bCs/>
    </w:rPr>
  </w:style>
  <w:style w:type="character" w:customStyle="1" w:styleId="StyleHeading3BlueChar">
    <w:name w:val="Style Heading 3 +Blue Char"/>
    <w:rPr>
      <w:rFonts w:ascii="Arial" w:hAnsi="Arial" w:cs="Arial"/>
      <w:b/>
      <w:i/>
      <w:color w:val="0000FF"/>
      <w:kern w:val="1"/>
      <w:sz w:val="22"/>
      <w:szCs w:val="24"/>
      <w:lang w:val="en-GB" w:eastAsia="ar-SA" w:bidi="ar-SA"/>
    </w:rPr>
  </w:style>
  <w:style w:type="character" w:customStyle="1" w:styleId="StyleHeading3BlueChar0">
    <w:name w:val="Style Heading 3 Blue Char"/>
    <w:rPr>
      <w:rFonts w:ascii="Arial" w:hAnsi="Arial" w:cs="Arial"/>
      <w:b/>
      <w:i/>
      <w:color w:val="0000FF"/>
      <w:kern w:val="1"/>
      <w:sz w:val="22"/>
      <w:szCs w:val="24"/>
      <w:lang w:val="en-GB" w:eastAsia="ar-SA" w:bidi="ar-SA"/>
    </w:rPr>
  </w:style>
  <w:style w:type="character" w:customStyle="1" w:styleId="StyleHeading3Char">
    <w:name w:val="Style Heading 3 Char"/>
    <w:rPr>
      <w:rFonts w:ascii="Arial" w:hAnsi="Arial" w:cs="Arial"/>
      <w:b/>
      <w:i/>
      <w:kern w:val="1"/>
      <w:sz w:val="22"/>
      <w:szCs w:val="24"/>
      <w:lang w:val="en-GB" w:eastAsia="ar-SA" w:bidi="ar-SA"/>
    </w:rPr>
  </w:style>
  <w:style w:type="character" w:customStyle="1" w:styleId="StyleHeading4BlueChar">
    <w:name w:val="Style Heading 4 +  Blue Char"/>
    <w:rPr>
      <w:rFonts w:ascii="Arial" w:hAnsi="Arial" w:cs="Arial"/>
      <w:b/>
      <w:color w:val="0000FF"/>
      <w:sz w:val="22"/>
      <w:szCs w:val="22"/>
      <w:lang w:val="en-GB" w:eastAsia="ar-SA" w:bidi="ar-SA"/>
    </w:rPr>
  </w:style>
  <w:style w:type="character" w:customStyle="1" w:styleId="StyleHeading4Char">
    <w:name w:val="Style Heading 4 + Char"/>
    <w:rPr>
      <w:rFonts w:ascii="Arial" w:hAnsi="Arial" w:cs="Arial"/>
      <w:b/>
      <w:sz w:val="22"/>
      <w:szCs w:val="22"/>
      <w:lang w:val="en-GB" w:eastAsia="ar-SA" w:bidi="ar-SA"/>
    </w:rPr>
  </w:style>
  <w:style w:type="character" w:customStyle="1" w:styleId="StyleHeading4TimesNewRomanBlueStrikethroughChar">
    <w:name w:val="Style Heading 4 + Times New Roman Blue Strikethrough Char"/>
    <w:rPr>
      <w:rFonts w:ascii="Arial" w:hAnsi="Arial" w:cs="Arial"/>
      <w:b/>
      <w:strike/>
      <w:color w:val="0000FF"/>
      <w:sz w:val="22"/>
      <w:szCs w:val="22"/>
      <w:lang w:val="en-GB" w:eastAsia="ar-SA" w:bidi="ar-SA"/>
    </w:rPr>
  </w:style>
  <w:style w:type="character" w:customStyle="1" w:styleId="StyleHeading4Char0">
    <w:name w:val="Style Heading 4 Char"/>
    <w:rPr>
      <w:rFonts w:ascii="Arial" w:hAnsi="Arial" w:cs="Arial"/>
      <w:b/>
      <w:sz w:val="22"/>
      <w:szCs w:val="22"/>
      <w:lang w:val="en-GB" w:eastAsia="ar-SA" w:bidi="ar-SA"/>
    </w:rPr>
  </w:style>
  <w:style w:type="character" w:customStyle="1" w:styleId="StyleHeading5Char">
    <w:name w:val="Style Heading 5 + Char"/>
    <w:rPr>
      <w:rFonts w:ascii="Arial" w:hAnsi="Arial" w:cs="Arial"/>
      <w:b/>
      <w:bCs/>
      <w:color w:val="0000FF"/>
      <w:lang w:val="en-GB" w:eastAsia="ar-SA" w:bidi="ar-SA"/>
    </w:rPr>
  </w:style>
  <w:style w:type="character" w:customStyle="1" w:styleId="TableBulletsChar">
    <w:name w:val="Table Bullets Char"/>
    <w:rPr>
      <w:lang w:val="en-GB" w:eastAsia="ar-SA" w:bidi="ar-SA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ZCom">
    <w:name w:val="Z_Com"/>
    <w:basedOn w:val="Normal"/>
    <w:next w:val="Normal"/>
    <w:pPr>
      <w:widowControl w:val="0"/>
      <w:ind w:right="85"/>
    </w:pPr>
    <w:rPr>
      <w:rFonts w:ascii="Arial" w:hAnsi="Arial" w:cs="Arial"/>
      <w:sz w:val="24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</w:pPr>
    <w:rPr>
      <w:szCs w:val="20"/>
    </w:rPr>
  </w:style>
  <w:style w:type="paragraph" w:customStyle="1" w:styleId="ListBullet10">
    <w:name w:val="List Bullet 1"/>
    <w:basedOn w:val="Normal"/>
    <w:pPr>
      <w:tabs>
        <w:tab w:val="left" w:pos="765"/>
      </w:tabs>
      <w:spacing w:after="240"/>
      <w:ind w:left="765" w:hanging="283"/>
    </w:pPr>
    <w:rPr>
      <w:sz w:val="24"/>
    </w:rPr>
  </w:style>
  <w:style w:type="paragraph" w:customStyle="1" w:styleId="HeadingTOC">
    <w:name w:val="Heading TOC"/>
    <w:basedOn w:val="Normal"/>
    <w:next w:val="Normal"/>
    <w:pPr>
      <w:keepNext/>
      <w:keepLines/>
      <w:pageBreakBefore/>
      <w:spacing w:before="680" w:after="60"/>
    </w:pPr>
    <w:rPr>
      <w:rFonts w:ascii="Century Gothic" w:hAnsi="Century Gothic" w:cs="Century Gothic"/>
      <w:caps/>
      <w:kern w:val="1"/>
      <w:sz w:val="28"/>
    </w:rPr>
  </w:style>
  <w:style w:type="paragraph" w:customStyle="1" w:styleId="CRReference">
    <w:name w:val="CR Reference"/>
    <w:basedOn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0"/>
    </w:pPr>
    <w:rPr>
      <w:szCs w:val="20"/>
    </w:rPr>
  </w:style>
  <w:style w:type="paragraph" w:customStyle="1" w:styleId="Absatz">
    <w:name w:val="Absatz"/>
    <w:basedOn w:val="Normal"/>
    <w:pPr>
      <w:spacing w:after="240" w:line="360" w:lineRule="exact"/>
    </w:pPr>
    <w:rPr>
      <w:sz w:val="24"/>
    </w:rPr>
  </w:style>
  <w:style w:type="paragraph" w:customStyle="1" w:styleId="AbstractTitle">
    <w:name w:val="Abstract Title"/>
    <w:basedOn w:val="Normal"/>
    <w:next w:val="Normal"/>
    <w:pPr>
      <w:spacing w:before="360" w:after="180"/>
      <w:jc w:val="center"/>
    </w:pPr>
    <w:rPr>
      <w:b/>
      <w:kern w:val="1"/>
      <w:sz w:val="28"/>
    </w:rPr>
  </w:style>
  <w:style w:type="paragraph" w:customStyle="1" w:styleId="Appendix1">
    <w:name w:val="Appendix 1"/>
    <w:basedOn w:val="Heading1"/>
    <w:next w:val="Normal"/>
    <w:pPr>
      <w:numPr>
        <w:numId w:val="0"/>
      </w:numPr>
      <w:spacing w:before="240" w:after="60"/>
      <w:jc w:val="both"/>
    </w:pPr>
    <w:rPr>
      <w:caps w:val="0"/>
      <w:lang w:val="en-US"/>
    </w:rPr>
  </w:style>
  <w:style w:type="paragraph" w:customStyle="1" w:styleId="Appendix2">
    <w:name w:val="Appendix 2"/>
    <w:basedOn w:val="Heading2"/>
    <w:next w:val="Normal"/>
    <w:pPr>
      <w:numPr>
        <w:ilvl w:val="0"/>
        <w:numId w:val="20"/>
      </w:numPr>
      <w:spacing w:before="240"/>
      <w:jc w:val="both"/>
    </w:pPr>
    <w:rPr>
      <w:rFonts w:ascii="Book Antiqua" w:hAnsi="Book Antiqua" w:cs="Book Antiqua"/>
      <w:b w:val="0"/>
      <w:i/>
      <w:szCs w:val="24"/>
      <w:lang w:val="en-US"/>
    </w:rPr>
  </w:style>
  <w:style w:type="paragraph" w:customStyle="1" w:styleId="BodyTextIndent21">
    <w:name w:val="Body Text Indent 21"/>
    <w:basedOn w:val="Normal"/>
    <w:pPr>
      <w:ind w:left="2880"/>
    </w:pPr>
    <w:rPr>
      <w:rFonts w:ascii="Arial" w:hAnsi="Arial" w:cs="Arial"/>
      <w:sz w:val="24"/>
    </w:rPr>
  </w:style>
  <w:style w:type="paragraph" w:styleId="Footer">
    <w:name w:val="footer"/>
    <w:pPr>
      <w:pBdr>
        <w:top w:val="single" w:sz="4" w:space="1" w:color="000000"/>
      </w:pBdr>
      <w:tabs>
        <w:tab w:val="center" w:pos="4253"/>
        <w:tab w:val="right" w:pos="8505"/>
      </w:tabs>
      <w:suppressAutoHyphens/>
    </w:pPr>
    <w:rPr>
      <w:b/>
      <w:szCs w:val="24"/>
      <w:lang w:eastAsia="ar-SA"/>
    </w:rPr>
  </w:style>
  <w:style w:type="paragraph" w:styleId="Header">
    <w:name w:val="header"/>
    <w:pPr>
      <w:pBdr>
        <w:bottom w:val="single" w:sz="4" w:space="1" w:color="000000"/>
      </w:pBdr>
      <w:tabs>
        <w:tab w:val="center" w:pos="4253"/>
        <w:tab w:val="right" w:pos="8505"/>
      </w:tabs>
      <w:suppressAutoHyphens/>
    </w:pPr>
    <w:rPr>
      <w:b/>
      <w:szCs w:val="24"/>
      <w:lang w:eastAsia="ar-SA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jc w:val="left"/>
    </w:pPr>
    <w:rPr>
      <w:rFonts w:ascii="Arial" w:hAnsi="Arial" w:cs="Arial"/>
      <w:b/>
      <w:bCs/>
      <w:caps/>
      <w:kern w:val="1"/>
      <w:sz w:val="28"/>
      <w:szCs w:val="3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 w:val="24"/>
    </w:rPr>
  </w:style>
  <w:style w:type="paragraph" w:customStyle="1" w:styleId="Tabletitle">
    <w:name w:val="Table title"/>
    <w:basedOn w:val="Normal"/>
    <w:next w:val="Normal"/>
    <w:pPr>
      <w:keepNext/>
      <w:jc w:val="center"/>
    </w:pPr>
    <w:rPr>
      <w:rFonts w:ascii="Arial" w:hAnsi="Arial" w:cs="Arial"/>
      <w:b/>
      <w:sz w:val="28"/>
      <w:szCs w:val="20"/>
    </w:rPr>
  </w:style>
  <w:style w:type="paragraph" w:styleId="TOC1">
    <w:name w:val="toc 1"/>
    <w:basedOn w:val="Normal"/>
    <w:next w:val="Normal"/>
    <w:pPr>
      <w:tabs>
        <w:tab w:val="left" w:pos="425"/>
        <w:tab w:val="right" w:leader="dot" w:pos="8494"/>
      </w:tabs>
      <w:spacing w:before="120"/>
      <w:ind w:left="425" w:hanging="425"/>
      <w:jc w:val="left"/>
    </w:pPr>
    <w:rPr>
      <w:b/>
      <w:caps/>
      <w:sz w:val="20"/>
      <w:szCs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ption1">
    <w:name w:val="Caption1"/>
    <w:basedOn w:val="Normal"/>
    <w:next w:val="Normal"/>
    <w:pPr>
      <w:tabs>
        <w:tab w:val="left" w:pos="1418"/>
      </w:tabs>
      <w:spacing w:before="120"/>
      <w:ind w:left="1418" w:hanging="1418"/>
    </w:pPr>
    <w:rPr>
      <w:b/>
      <w:bCs/>
      <w:sz w:val="20"/>
      <w:szCs w:val="20"/>
    </w:rPr>
  </w:style>
  <w:style w:type="paragraph" w:styleId="TOC2">
    <w:name w:val="toc 2"/>
    <w:basedOn w:val="Normal"/>
    <w:next w:val="Normal"/>
    <w:pPr>
      <w:tabs>
        <w:tab w:val="left" w:pos="907"/>
        <w:tab w:val="right" w:leader="dot" w:pos="8494"/>
      </w:tabs>
      <w:ind w:left="907" w:hanging="709"/>
      <w:jc w:val="left"/>
    </w:pPr>
    <w:rPr>
      <w:sz w:val="20"/>
      <w:szCs w:val="20"/>
    </w:rPr>
  </w:style>
  <w:style w:type="paragraph" w:customStyle="1" w:styleId="Captioncomments">
    <w:name w:val="Caption comments"/>
    <w:basedOn w:val="Normal"/>
    <w:next w:val="Normal"/>
    <w:pPr>
      <w:jc w:val="left"/>
    </w:pPr>
    <w:rPr>
      <w:b/>
      <w:sz w:val="20"/>
      <w:szCs w:val="20"/>
    </w:rPr>
  </w:style>
  <w:style w:type="paragraph" w:styleId="TOC3">
    <w:name w:val="toc 3"/>
    <w:basedOn w:val="Normal"/>
    <w:next w:val="Normal"/>
    <w:pPr>
      <w:tabs>
        <w:tab w:val="left" w:pos="1418"/>
        <w:tab w:val="right" w:leader="dot" w:pos="8494"/>
      </w:tabs>
      <w:ind w:left="1418" w:hanging="1015"/>
      <w:jc w:val="left"/>
    </w:pPr>
    <w:rPr>
      <w:sz w:val="20"/>
      <w:szCs w:val="20"/>
    </w:rPr>
  </w:style>
  <w:style w:type="paragraph" w:styleId="TOC4">
    <w:name w:val="toc 4"/>
    <w:basedOn w:val="Normal"/>
    <w:next w:val="Normal"/>
    <w:pPr>
      <w:tabs>
        <w:tab w:val="left" w:pos="1814"/>
        <w:tab w:val="right" w:leader="dot" w:pos="8494"/>
      </w:tabs>
      <w:ind w:left="1814" w:hanging="1213"/>
      <w:jc w:val="left"/>
    </w:pPr>
    <w:rPr>
      <w:sz w:val="20"/>
      <w:szCs w:val="20"/>
    </w:rPr>
  </w:style>
  <w:style w:type="paragraph" w:styleId="TOC5">
    <w:name w:val="toc 5"/>
    <w:basedOn w:val="Normal"/>
    <w:next w:val="Normal"/>
    <w:pPr>
      <w:tabs>
        <w:tab w:val="left" w:pos="2211"/>
        <w:tab w:val="right" w:leader="dot" w:pos="8494"/>
      </w:tabs>
      <w:ind w:left="2211" w:hanging="1412"/>
      <w:jc w:val="left"/>
    </w:pPr>
    <w:rPr>
      <w:sz w:val="20"/>
      <w:szCs w:val="20"/>
    </w:rPr>
  </w:style>
  <w:style w:type="paragraph" w:styleId="TOC6">
    <w:name w:val="toc 6"/>
    <w:basedOn w:val="Normal"/>
    <w:next w:val="Normal"/>
    <w:pPr>
      <w:tabs>
        <w:tab w:val="left" w:pos="2659"/>
        <w:tab w:val="right" w:leader="dot" w:pos="8494"/>
      </w:tabs>
      <w:ind w:left="2659" w:hanging="1661"/>
      <w:jc w:val="left"/>
    </w:pPr>
    <w:rPr>
      <w:sz w:val="20"/>
      <w:szCs w:val="20"/>
    </w:rPr>
  </w:style>
  <w:style w:type="paragraph" w:customStyle="1" w:styleId="TableofFigures1">
    <w:name w:val="Table of Figures1"/>
    <w:basedOn w:val="Normal"/>
    <w:next w:val="Normal"/>
    <w:pPr>
      <w:tabs>
        <w:tab w:val="left" w:pos="1134"/>
        <w:tab w:val="right" w:leader="dot" w:pos="8495"/>
      </w:tabs>
      <w:ind w:left="1134" w:hanging="1134"/>
      <w:jc w:val="left"/>
    </w:pPr>
    <w:rPr>
      <w:iCs/>
      <w:sz w:val="20"/>
      <w:szCs w:val="20"/>
    </w:rPr>
  </w:style>
  <w:style w:type="paragraph" w:customStyle="1" w:styleId="ListBullet1">
    <w:name w:val="List Bullet1"/>
    <w:basedOn w:val="Normal"/>
    <w:pPr>
      <w:numPr>
        <w:numId w:val="11"/>
      </w:numPr>
    </w:pPr>
  </w:style>
  <w:style w:type="paragraph" w:customStyle="1" w:styleId="ListBullet21">
    <w:name w:val="List Bullet 21"/>
    <w:basedOn w:val="Normal"/>
    <w:pPr>
      <w:numPr>
        <w:numId w:val="9"/>
      </w:numPr>
    </w:pPr>
  </w:style>
  <w:style w:type="paragraph" w:styleId="Index1">
    <w:name w:val="index 1"/>
    <w:basedOn w:val="Normal"/>
    <w:next w:val="Normal"/>
    <w:pPr>
      <w:widowControl w:val="0"/>
      <w:tabs>
        <w:tab w:val="right" w:leader="dot" w:pos="9360"/>
      </w:tabs>
      <w:ind w:left="1440" w:right="720" w:hanging="1440"/>
    </w:pPr>
    <w:rPr>
      <w:rFonts w:ascii="Futura Book" w:hAnsi="Futura Book" w:cs="Futura Book"/>
    </w:rPr>
  </w:style>
  <w:style w:type="paragraph" w:styleId="IndexHeading">
    <w:name w:val="index heading"/>
    <w:basedOn w:val="Normal"/>
    <w:next w:val="Index1"/>
  </w:style>
  <w:style w:type="paragraph" w:customStyle="1" w:styleId="BodyText23">
    <w:name w:val="Body Text 23"/>
    <w:basedOn w:val="Normal"/>
    <w:rPr>
      <w:sz w:val="24"/>
    </w:rPr>
  </w:style>
  <w:style w:type="paragraph" w:customStyle="1" w:styleId="BodyText31">
    <w:name w:val="Body Text 31"/>
    <w:basedOn w:val="Normal"/>
    <w:pPr>
      <w:ind w:right="613"/>
    </w:pPr>
    <w:rPr>
      <w:sz w:val="24"/>
    </w:rPr>
  </w:style>
  <w:style w:type="paragraph" w:customStyle="1" w:styleId="BodyTextIndent31">
    <w:name w:val="Body Text Indent 31"/>
    <w:basedOn w:val="Normal"/>
    <w:pPr>
      <w:tabs>
        <w:tab w:val="left" w:pos="137"/>
      </w:tabs>
      <w:ind w:left="137" w:hanging="137"/>
    </w:pPr>
  </w:style>
  <w:style w:type="paragraph" w:styleId="TOC7">
    <w:name w:val="toc 7"/>
    <w:basedOn w:val="Normal"/>
    <w:next w:val="Normal"/>
    <w:pPr>
      <w:tabs>
        <w:tab w:val="left" w:pos="3119"/>
        <w:tab w:val="right" w:leader="dot" w:pos="8495"/>
      </w:tabs>
      <w:ind w:left="2970" w:hanging="1760"/>
    </w:pPr>
    <w:rPr>
      <w:sz w:val="20"/>
    </w:rPr>
  </w:style>
  <w:style w:type="paragraph" w:styleId="TOC8">
    <w:name w:val="toc 8"/>
    <w:basedOn w:val="Normal"/>
    <w:next w:val="Normal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pPr>
      <w:ind w:left="1600"/>
    </w:pPr>
    <w:rPr>
      <w:sz w:val="18"/>
      <w:szCs w:val="18"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  <w:sz w:val="24"/>
    </w:rPr>
  </w:style>
  <w:style w:type="paragraph" w:customStyle="1" w:styleId="NormalText">
    <w:name w:val="Normal Text"/>
    <w:basedOn w:val="Normal"/>
    <w:pPr>
      <w:spacing w:before="60" w:after="60"/>
    </w:pPr>
    <w:rPr>
      <w:kern w:val="1"/>
      <w:szCs w:val="20"/>
    </w:rPr>
  </w:style>
  <w:style w:type="paragraph" w:customStyle="1" w:styleId="Bullet1">
    <w:name w:val="Bullet1"/>
    <w:basedOn w:val="NormalText"/>
    <w:pPr>
      <w:numPr>
        <w:numId w:val="21"/>
      </w:numPr>
    </w:pPr>
  </w:style>
  <w:style w:type="paragraph" w:customStyle="1" w:styleId="NormalInitial">
    <w:name w:val="Normal Initial"/>
    <w:basedOn w:val="Normal"/>
    <w:next w:val="NormalText"/>
    <w:pPr>
      <w:spacing w:before="60" w:after="60"/>
    </w:pPr>
    <w:rPr>
      <w:kern w:val="1"/>
    </w:rPr>
  </w:style>
  <w:style w:type="paragraph" w:customStyle="1" w:styleId="Bullet2">
    <w:name w:val="Bullet2"/>
    <w:basedOn w:val="NormalInitial"/>
    <w:pPr>
      <w:tabs>
        <w:tab w:val="num" w:pos="720"/>
        <w:tab w:val="left" w:pos="851"/>
      </w:tabs>
      <w:ind w:left="720" w:hanging="36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TableBullets">
    <w:name w:val="Table Bullets"/>
    <w:basedOn w:val="Normal"/>
    <w:pPr>
      <w:numPr>
        <w:numId w:val="18"/>
      </w:numPr>
    </w:pPr>
    <w:rPr>
      <w:sz w:val="20"/>
      <w:szCs w:val="20"/>
    </w:rPr>
  </w:style>
  <w:style w:type="paragraph" w:customStyle="1" w:styleId="Captioncomment">
    <w:name w:val="Caption comment"/>
    <w:basedOn w:val="Normal"/>
    <w:next w:val="Normal"/>
    <w:pPr>
      <w:keepNext/>
      <w:keepLines/>
      <w:widowControl w:val="0"/>
      <w:spacing w:line="260" w:lineRule="atLeast"/>
    </w:pPr>
    <w:rPr>
      <w:kern w:val="1"/>
    </w:rPr>
  </w:style>
  <w:style w:type="paragraph" w:customStyle="1" w:styleId="ListNumber1">
    <w:name w:val="List Number1"/>
    <w:basedOn w:val="Normal"/>
    <w:pPr>
      <w:numPr>
        <w:numId w:val="10"/>
      </w:numPr>
    </w:pPr>
  </w:style>
  <w:style w:type="paragraph" w:customStyle="1" w:styleId="Closing1">
    <w:name w:val="Closing1"/>
    <w:basedOn w:val="Normal"/>
    <w:pPr>
      <w:ind w:left="4320"/>
    </w:pPr>
  </w:style>
  <w:style w:type="paragraph" w:customStyle="1" w:styleId="CoverTitle">
    <w:name w:val="Cover Title"/>
    <w:basedOn w:val="Normal"/>
    <w:pPr>
      <w:spacing w:after="60"/>
    </w:pPr>
    <w:rPr>
      <w:rFonts w:ascii="Arial Narrow" w:hAnsi="Arial Narrow" w:cs="Arial Narrow"/>
      <w:b/>
      <w:smallCaps/>
      <w:kern w:val="1"/>
      <w:sz w:val="56"/>
    </w:rPr>
  </w:style>
  <w:style w:type="paragraph" w:customStyle="1" w:styleId="CoverType">
    <w:name w:val="Cover Type"/>
    <w:basedOn w:val="Normal"/>
    <w:pPr>
      <w:spacing w:before="120"/>
    </w:pPr>
    <w:rPr>
      <w:rFonts w:ascii="Arial Narrow" w:hAnsi="Arial Narrow" w:cs="Arial Narrow"/>
      <w:kern w:val="1"/>
      <w:sz w:val="48"/>
    </w:rPr>
  </w:style>
  <w:style w:type="paragraph" w:customStyle="1" w:styleId="CreateOutlineLevel">
    <w:name w:val="CreateOutlineLevel"/>
    <w:basedOn w:val="Normal"/>
    <w:rPr>
      <w:lang w:val="en-US"/>
    </w:rPr>
  </w:style>
  <w:style w:type="paragraph" w:customStyle="1" w:styleId="Date1">
    <w:name w:val="Date1"/>
    <w:basedOn w:val="Normal"/>
    <w:next w:val="Normal"/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customStyle="1" w:styleId="featurecontent">
    <w:name w:val="featurecontent"/>
    <w:basedOn w:val="Normal"/>
    <w:pPr>
      <w:spacing w:before="100" w:after="100"/>
    </w:pPr>
    <w:rPr>
      <w:rFonts w:ascii="Verdana" w:hAnsi="Verdana" w:cs="Verdana"/>
      <w:color w:val="333366"/>
      <w:sz w:val="16"/>
      <w:szCs w:val="16"/>
      <w:lang w:val="el-GR"/>
    </w:rPr>
  </w:style>
  <w:style w:type="paragraph" w:customStyle="1" w:styleId="featureheader">
    <w:name w:val="featureheader"/>
    <w:basedOn w:val="Normal"/>
    <w:pPr>
      <w:spacing w:before="100" w:after="100"/>
    </w:pPr>
    <w:rPr>
      <w:rFonts w:ascii="Verdana" w:hAnsi="Verdana" w:cs="Verdana"/>
      <w:b/>
      <w:bCs/>
      <w:color w:val="000000"/>
      <w:sz w:val="19"/>
      <w:szCs w:val="19"/>
      <w:lang w:val="el-GR"/>
    </w:rPr>
  </w:style>
  <w:style w:type="paragraph" w:customStyle="1" w:styleId="Appendix3">
    <w:name w:val="Appendix 3"/>
    <w:basedOn w:val="Heading3"/>
    <w:next w:val="Normal"/>
    <w:pPr>
      <w:numPr>
        <w:ilvl w:val="0"/>
        <w:numId w:val="0"/>
      </w:numPr>
      <w:tabs>
        <w:tab w:val="num" w:pos="0"/>
      </w:tabs>
      <w:spacing w:before="240"/>
      <w:ind w:left="360" w:hanging="360"/>
      <w:jc w:val="both"/>
    </w:pPr>
    <w:rPr>
      <w:b w:val="0"/>
      <w:i/>
      <w:lang w:val="en-US"/>
    </w:rPr>
  </w:style>
  <w:style w:type="paragraph" w:customStyle="1" w:styleId="Appendix4">
    <w:name w:val="Appendix 4"/>
    <w:basedOn w:val="Heading4"/>
    <w:next w:val="Normal"/>
    <w:pPr>
      <w:pageBreakBefore/>
      <w:numPr>
        <w:ilvl w:val="0"/>
        <w:numId w:val="0"/>
      </w:numPr>
      <w:tabs>
        <w:tab w:val="num" w:pos="0"/>
      </w:tabs>
      <w:spacing w:before="60"/>
      <w:ind w:left="360" w:hanging="360"/>
      <w:jc w:val="both"/>
    </w:pPr>
    <w:rPr>
      <w:rFonts w:ascii="Verdana" w:hAnsi="Verdana" w:cs="Verdana"/>
      <w:smallCaps/>
      <w:szCs w:val="22"/>
      <w:lang w:val="en-AU"/>
    </w:rPr>
  </w:style>
  <w:style w:type="paragraph" w:customStyle="1" w:styleId="AppendixStyle">
    <w:name w:val="Appendix Style"/>
    <w:pPr>
      <w:numPr>
        <w:numId w:val="13"/>
      </w:numPr>
      <w:suppressAutoHyphens/>
    </w:pPr>
    <w:rPr>
      <w:rFonts w:ascii="Arial" w:hAnsi="Arial" w:cs="Arial"/>
      <w:b/>
      <w:kern w:val="1"/>
      <w:sz w:val="26"/>
      <w:szCs w:val="26"/>
      <w:lang w:eastAsia="ar-SA"/>
    </w:rPr>
  </w:style>
  <w:style w:type="paragraph" w:customStyle="1" w:styleId="Heading1notnumbered">
    <w:name w:val="Heading 1 not numbered"/>
    <w:basedOn w:val="Heading1"/>
    <w:next w:val="Normal"/>
    <w:pPr>
      <w:numPr>
        <w:numId w:val="0"/>
      </w:numPr>
    </w:pPr>
    <w:rPr>
      <w:bCs/>
      <w:szCs w:val="28"/>
    </w:rPr>
  </w:style>
  <w:style w:type="paragraph" w:customStyle="1" w:styleId="BlockText1">
    <w:name w:val="Block Text1"/>
    <w:basedOn w:val="Normal"/>
    <w:pPr>
      <w:ind w:left="343" w:right="613"/>
    </w:pPr>
    <w:rPr>
      <w:sz w:val="24"/>
    </w:rPr>
  </w:style>
  <w:style w:type="paragraph" w:customStyle="1" w:styleId="BodyText21">
    <w:name w:val="Body Text 21"/>
    <w:basedOn w:val="Normal"/>
    <w:pPr>
      <w:spacing w:before="120" w:after="120" w:line="312" w:lineRule="auto"/>
    </w:pPr>
    <w:rPr>
      <w:i/>
      <w:sz w:val="24"/>
    </w:rPr>
  </w:style>
  <w:style w:type="paragraph" w:customStyle="1" w:styleId="BodyText22">
    <w:name w:val="Body Text 22"/>
    <w:basedOn w:val="Normal"/>
    <w:pPr>
      <w:spacing w:before="120" w:after="120" w:line="312" w:lineRule="auto"/>
      <w:ind w:left="425"/>
    </w:pPr>
    <w:rPr>
      <w:sz w:val="24"/>
    </w:rPr>
  </w:style>
  <w:style w:type="paragraph" w:customStyle="1" w:styleId="BodyTextFirstIndent1">
    <w:name w:val="Body Text First Indent1"/>
    <w:basedOn w:val="BodyText"/>
    <w:pPr>
      <w:ind w:firstLine="210"/>
    </w:pPr>
  </w:style>
  <w:style w:type="paragraph" w:customStyle="1" w:styleId="BodyTextFirstIndent21">
    <w:name w:val="Body Text First Indent 21"/>
    <w:basedOn w:val="BodyTextIndent"/>
    <w:pPr>
      <w:spacing w:after="120"/>
      <w:ind w:left="360" w:firstLine="210"/>
    </w:pPr>
  </w:style>
  <w:style w:type="paragraph" w:customStyle="1" w:styleId="headtitle">
    <w:name w:val="headtitle"/>
    <w:basedOn w:val="Normal"/>
    <w:pPr>
      <w:spacing w:before="100" w:after="100"/>
    </w:pPr>
    <w:rPr>
      <w:rFonts w:ascii="Arial" w:hAnsi="Arial" w:cs="Arial"/>
      <w:b/>
      <w:bCs/>
      <w:color w:val="000066"/>
      <w:sz w:val="21"/>
      <w:szCs w:val="21"/>
      <w:lang w:val="el-GR"/>
    </w:rPr>
  </w:style>
  <w:style w:type="paragraph" w:customStyle="1" w:styleId="HTMLPreformatted1">
    <w:name w:val="HTML Preformatted1"/>
    <w:basedOn w:val="Normal"/>
    <w:rPr>
      <w:rFonts w:ascii="Courier New" w:hAnsi="Courier New" w:cs="Courier New"/>
      <w:sz w:val="20"/>
      <w:szCs w:val="20"/>
    </w:rPr>
  </w:style>
  <w:style w:type="paragraph" w:customStyle="1" w:styleId="Overview">
    <w:name w:val="Overview"/>
    <w:basedOn w:val="NormalInitial"/>
    <w:pPr>
      <w:jc w:val="left"/>
    </w:pPr>
    <w:rPr>
      <w:b/>
      <w:i/>
      <w:sz w:val="24"/>
    </w:rPr>
  </w:style>
  <w:style w:type="paragraph" w:customStyle="1" w:styleId="LearningObjectives">
    <w:name w:val="Learning Objectives"/>
    <w:basedOn w:val="Overview"/>
  </w:style>
  <w:style w:type="paragraph" w:customStyle="1" w:styleId="List31">
    <w:name w:val="List 31"/>
    <w:basedOn w:val="Normal"/>
    <w:pPr>
      <w:ind w:left="849" w:hanging="283"/>
    </w:pPr>
  </w:style>
  <w:style w:type="paragraph" w:customStyle="1" w:styleId="List41">
    <w:name w:val="List 41"/>
    <w:basedOn w:val="Normal"/>
    <w:pPr>
      <w:ind w:left="1132" w:hanging="283"/>
    </w:pPr>
  </w:style>
  <w:style w:type="paragraph" w:customStyle="1" w:styleId="List51">
    <w:name w:val="List 51"/>
    <w:basedOn w:val="Normal"/>
    <w:pPr>
      <w:ind w:left="1415" w:hanging="283"/>
    </w:pPr>
  </w:style>
  <w:style w:type="paragraph" w:customStyle="1" w:styleId="ListContinue1">
    <w:name w:val="List Continue1"/>
    <w:basedOn w:val="Normal"/>
    <w:pPr>
      <w:spacing w:after="120"/>
      <w:ind w:left="283"/>
    </w:pPr>
  </w:style>
  <w:style w:type="paragraph" w:customStyle="1" w:styleId="ListContinue21">
    <w:name w:val="List Continue 21"/>
    <w:basedOn w:val="Normal"/>
    <w:pPr>
      <w:spacing w:after="120"/>
      <w:ind w:left="566"/>
    </w:pPr>
  </w:style>
  <w:style w:type="paragraph" w:customStyle="1" w:styleId="ListContinue31">
    <w:name w:val="List Continue 31"/>
    <w:basedOn w:val="Normal"/>
    <w:pPr>
      <w:spacing w:after="120"/>
      <w:ind w:left="849"/>
    </w:pPr>
  </w:style>
  <w:style w:type="paragraph" w:customStyle="1" w:styleId="ListContinue41">
    <w:name w:val="List Continue 41"/>
    <w:basedOn w:val="Normal"/>
    <w:pPr>
      <w:spacing w:after="120"/>
      <w:ind w:left="1132"/>
    </w:pPr>
  </w:style>
  <w:style w:type="paragraph" w:customStyle="1" w:styleId="ListContinue51">
    <w:name w:val="List Continue 51"/>
    <w:basedOn w:val="Normal"/>
    <w:pPr>
      <w:spacing w:after="120"/>
      <w:ind w:left="1415"/>
    </w:pPr>
  </w:style>
  <w:style w:type="paragraph" w:customStyle="1" w:styleId="ListNumber10">
    <w:name w:val="List Number 1"/>
    <w:basedOn w:val="Normal"/>
    <w:pPr>
      <w:tabs>
        <w:tab w:val="left" w:pos="1191"/>
      </w:tabs>
      <w:spacing w:after="240"/>
      <w:ind w:left="1191" w:hanging="709"/>
    </w:pPr>
    <w:rPr>
      <w:sz w:val="24"/>
    </w:rPr>
  </w:style>
  <w:style w:type="paragraph" w:customStyle="1" w:styleId="ListNumber31">
    <w:name w:val="List Number 31"/>
    <w:basedOn w:val="Normal"/>
    <w:pPr>
      <w:numPr>
        <w:numId w:val="4"/>
      </w:numPr>
    </w:pPr>
  </w:style>
  <w:style w:type="paragraph" w:customStyle="1" w:styleId="ListNumber41">
    <w:name w:val="List Number 41"/>
    <w:basedOn w:val="Normal"/>
    <w:pPr>
      <w:numPr>
        <w:numId w:val="3"/>
      </w:numPr>
    </w:pPr>
  </w:style>
  <w:style w:type="paragraph" w:customStyle="1" w:styleId="ListNumber51">
    <w:name w:val="List Number 51"/>
    <w:basedOn w:val="Normal"/>
    <w:pPr>
      <w:numPr>
        <w:numId w:val="2"/>
      </w:numPr>
    </w:pPr>
  </w:style>
  <w:style w:type="paragraph" w:customStyle="1" w:styleId="E-mailSignature1">
    <w:name w:val="E-mail Signature1"/>
    <w:basedOn w:val="Normal"/>
  </w:style>
  <w:style w:type="paragraph" w:styleId="EndnoteText">
    <w:name w:val="endnote text"/>
    <w:basedOn w:val="Normal"/>
    <w:pPr>
      <w:tabs>
        <w:tab w:val="left" w:pos="851"/>
        <w:tab w:val="left" w:pos="5670"/>
        <w:tab w:val="left" w:pos="8505"/>
      </w:tabs>
      <w:spacing w:before="60" w:after="60"/>
      <w:ind w:left="851" w:hanging="851"/>
    </w:pPr>
    <w:rPr>
      <w:rFonts w:ascii="Arial" w:hAnsi="Arial" w:cs="Arial"/>
      <w:lang w:val="de-AT"/>
    </w:rPr>
  </w:style>
  <w:style w:type="paragraph" w:customStyle="1" w:styleId="MessageHeader1">
    <w:name w:val="Message Header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MyHeading1">
    <w:name w:val="MyHeading 1"/>
    <w:basedOn w:val="Normal"/>
    <w:pPr>
      <w:numPr>
        <w:numId w:val="17"/>
      </w:numPr>
    </w:pPr>
  </w:style>
  <w:style w:type="paragraph" w:customStyle="1" w:styleId="NormalWeb1">
    <w:name w:val="Normal (Web)1"/>
    <w:basedOn w:val="Normal"/>
    <w:rPr>
      <w:sz w:val="24"/>
    </w:rPr>
  </w:style>
  <w:style w:type="paragraph" w:customStyle="1" w:styleId="NormalIndent1">
    <w:name w:val="Normal Indent1"/>
    <w:basedOn w:val="Normal"/>
    <w:pPr>
      <w:ind w:left="720"/>
    </w:pPr>
  </w:style>
  <w:style w:type="paragraph" w:customStyle="1" w:styleId="Footerlandscape">
    <w:name w:val="Footer landscape"/>
    <w:pPr>
      <w:pBdr>
        <w:top w:val="single" w:sz="4" w:space="1" w:color="000000"/>
      </w:pBdr>
      <w:tabs>
        <w:tab w:val="center" w:pos="7088"/>
        <w:tab w:val="right" w:pos="14572"/>
      </w:tabs>
      <w:suppressAutoHyphens/>
    </w:pPr>
    <w:rPr>
      <w:b/>
      <w:szCs w:val="24"/>
      <w:lang w:eastAsia="ar-SA"/>
    </w:rPr>
  </w:style>
  <w:style w:type="paragraph" w:customStyle="1" w:styleId="NormalItem">
    <w:name w:val="Normal Item"/>
    <w:basedOn w:val="Normal"/>
    <w:pPr>
      <w:numPr>
        <w:numId w:val="19"/>
      </w:numPr>
      <w:spacing w:after="120"/>
    </w:pPr>
  </w:style>
  <w:style w:type="paragraph" w:customStyle="1" w:styleId="NoteHeading1">
    <w:name w:val="Note Heading1"/>
    <w:basedOn w:val="Normal"/>
    <w:next w:val="Normal"/>
  </w:style>
  <w:style w:type="paragraph" w:customStyle="1" w:styleId="Headerlandscape">
    <w:name w:val="Header landscape"/>
    <w:pPr>
      <w:pBdr>
        <w:bottom w:val="single" w:sz="4" w:space="1" w:color="000000"/>
      </w:pBdr>
      <w:tabs>
        <w:tab w:val="center" w:pos="7088"/>
        <w:tab w:val="right" w:pos="14572"/>
      </w:tabs>
      <w:suppressAutoHyphens/>
    </w:pPr>
    <w:rPr>
      <w:b/>
      <w:szCs w:val="24"/>
      <w:lang w:eastAsia="ar-SA"/>
    </w:rPr>
  </w:style>
  <w:style w:type="paragraph" w:customStyle="1" w:styleId="Prrafomanual">
    <w:name w:val="Párrafo manual"/>
    <w:basedOn w:val="Normal"/>
    <w:pPr>
      <w:spacing w:after="240"/>
      <w:ind w:firstLine="567"/>
    </w:pPr>
    <w:rPr>
      <w:lang w:val="en-US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Heading3H30Char">
    <w:name w:val="Heading 3.H3.0 Char"/>
    <w:basedOn w:val="Heading1"/>
    <w:next w:val="Normal"/>
    <w:pPr>
      <w:keepNext w:val="0"/>
      <w:numPr>
        <w:numId w:val="0"/>
      </w:numPr>
      <w:tabs>
        <w:tab w:val="left" w:pos="340"/>
      </w:tabs>
      <w:autoSpaceDE w:val="0"/>
      <w:spacing w:before="120"/>
      <w:ind w:left="567"/>
      <w:jc w:val="both"/>
    </w:pPr>
    <w:rPr>
      <w:b w:val="0"/>
      <w:bCs/>
      <w:szCs w:val="24"/>
    </w:rPr>
  </w:style>
  <w:style w:type="paragraph" w:customStyle="1" w:styleId="HeadingTitle">
    <w:name w:val="Heading Title"/>
    <w:basedOn w:val="Heading1"/>
    <w:next w:val="Normal"/>
    <w:pPr>
      <w:numPr>
        <w:numId w:val="0"/>
      </w:numPr>
    </w:pPr>
    <w:rPr>
      <w:bCs/>
    </w:rPr>
  </w:style>
  <w:style w:type="paragraph" w:customStyle="1" w:styleId="PleugerBildunterschriften">
    <w:name w:val="PleugerBildunterschriften"/>
    <w:basedOn w:val="BodyText"/>
    <w:pPr>
      <w:spacing w:before="120" w:line="300" w:lineRule="auto"/>
    </w:pPr>
    <w:rPr>
      <w:rFonts w:ascii="Arial" w:hAnsi="Arial" w:cs="Arial"/>
    </w:rPr>
  </w:style>
  <w:style w:type="paragraph" w:customStyle="1" w:styleId="Quelle">
    <w:name w:val="Quelle"/>
    <w:basedOn w:val="Normal"/>
    <w:next w:val="Normal"/>
    <w:pPr>
      <w:spacing w:line="240" w:lineRule="atLeast"/>
    </w:pPr>
  </w:style>
  <w:style w:type="paragraph" w:customStyle="1" w:styleId="HTMLAddress1">
    <w:name w:val="HTML Address1"/>
    <w:basedOn w:val="Normal"/>
    <w:rPr>
      <w:i/>
      <w:iCs/>
    </w:rPr>
  </w:style>
  <w:style w:type="paragraph" w:customStyle="1" w:styleId="Questions">
    <w:name w:val="Questions"/>
    <w:basedOn w:val="Overview"/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customStyle="1" w:styleId="Index41">
    <w:name w:val="Index 41"/>
    <w:basedOn w:val="Normal"/>
    <w:next w:val="Normal"/>
    <w:pPr>
      <w:ind w:left="880" w:hanging="220"/>
    </w:pPr>
  </w:style>
  <w:style w:type="paragraph" w:customStyle="1" w:styleId="Index51">
    <w:name w:val="Index 51"/>
    <w:basedOn w:val="Normal"/>
    <w:next w:val="Normal"/>
    <w:pPr>
      <w:ind w:left="1100" w:hanging="220"/>
    </w:pPr>
  </w:style>
  <w:style w:type="paragraph" w:customStyle="1" w:styleId="Index61">
    <w:name w:val="Index 61"/>
    <w:basedOn w:val="Normal"/>
    <w:next w:val="Normal"/>
    <w:pPr>
      <w:ind w:left="1320" w:hanging="220"/>
    </w:pPr>
  </w:style>
  <w:style w:type="paragraph" w:customStyle="1" w:styleId="Index71">
    <w:name w:val="Index 71"/>
    <w:basedOn w:val="Normal"/>
    <w:next w:val="Normal"/>
    <w:pPr>
      <w:ind w:left="1540" w:hanging="220"/>
    </w:pPr>
  </w:style>
  <w:style w:type="paragraph" w:customStyle="1" w:styleId="Index81">
    <w:name w:val="Index 81"/>
    <w:basedOn w:val="Normal"/>
    <w:next w:val="Normal"/>
    <w:pPr>
      <w:ind w:left="1760" w:hanging="220"/>
    </w:pPr>
  </w:style>
  <w:style w:type="paragraph" w:customStyle="1" w:styleId="Index91">
    <w:name w:val="Index 91"/>
    <w:basedOn w:val="Normal"/>
    <w:next w:val="Normal"/>
    <w:pPr>
      <w:ind w:left="1980" w:hanging="220"/>
    </w:pPr>
  </w:style>
  <w:style w:type="paragraph" w:customStyle="1" w:styleId="ReferenceTable">
    <w:name w:val="Reference Table"/>
    <w:basedOn w:val="Normal"/>
    <w:pPr>
      <w:spacing w:after="120"/>
      <w:ind w:left="454" w:hanging="454"/>
    </w:pPr>
    <w:rPr>
      <w:rFonts w:ascii="Arial" w:hAnsi="Arial" w:cs="Arial"/>
      <w:sz w:val="20"/>
      <w:lang w:val="fr-FR"/>
    </w:rPr>
  </w:style>
  <w:style w:type="paragraph" w:customStyle="1" w:styleId="List21">
    <w:name w:val="List 21"/>
    <w:basedOn w:val="Normal"/>
    <w:pPr>
      <w:ind w:left="566" w:hanging="283"/>
    </w:pPr>
  </w:style>
  <w:style w:type="paragraph" w:customStyle="1" w:styleId="Salutation1">
    <w:name w:val="Salutation1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customStyle="1" w:styleId="TabelTekst">
    <w:name w:val="Tabel Tekst"/>
    <w:basedOn w:val="Normal"/>
    <w:pPr>
      <w:keepLines/>
      <w:spacing w:line="240" w:lineRule="atLeast"/>
    </w:pPr>
    <w:rPr>
      <w:kern w:val="1"/>
    </w:rPr>
  </w:style>
  <w:style w:type="paragraph" w:customStyle="1" w:styleId="Tabell">
    <w:name w:val="Tabell"/>
    <w:basedOn w:val="Normal"/>
    <w:rPr>
      <w:rFonts w:ascii="Arial" w:hAnsi="Arial" w:cs="Arial"/>
      <w:lang w:val="sv-SE"/>
    </w:rPr>
  </w:style>
  <w:style w:type="paragraph" w:customStyle="1" w:styleId="ListBullet31">
    <w:name w:val="List Bullet 31"/>
    <w:basedOn w:val="Normal"/>
    <w:pPr>
      <w:numPr>
        <w:numId w:val="8"/>
      </w:numPr>
    </w:pPr>
  </w:style>
  <w:style w:type="paragraph" w:customStyle="1" w:styleId="ListBullet41">
    <w:name w:val="List Bullet 41"/>
    <w:basedOn w:val="Normal"/>
    <w:pPr>
      <w:numPr>
        <w:numId w:val="7"/>
      </w:numPr>
    </w:pPr>
  </w:style>
  <w:style w:type="paragraph" w:customStyle="1" w:styleId="ListBullet51">
    <w:name w:val="List Bullet 51"/>
    <w:basedOn w:val="Normal"/>
    <w:pPr>
      <w:numPr>
        <w:numId w:val="6"/>
      </w:numPr>
    </w:pPr>
  </w:style>
  <w:style w:type="paragraph" w:customStyle="1" w:styleId="Tabelle">
    <w:name w:val="Tabelle"/>
    <w:basedOn w:val="Normal"/>
    <w:pPr>
      <w:keepNext/>
      <w:widowControl w:val="0"/>
      <w:tabs>
        <w:tab w:val="right" w:pos="720"/>
        <w:tab w:val="left" w:pos="1080"/>
      </w:tabs>
      <w:spacing w:before="40" w:after="40" w:line="240" w:lineRule="atLeast"/>
    </w:pPr>
    <w:rPr>
      <w:rFonts w:ascii="Arial" w:hAnsi="Arial" w:cs="Arial"/>
      <w:sz w:val="18"/>
      <w:lang w:val="de-DE"/>
    </w:rPr>
  </w:style>
  <w:style w:type="paragraph" w:customStyle="1" w:styleId="Tabellen">
    <w:name w:val="Tabellen"/>
    <w:basedOn w:val="Normal"/>
    <w:pPr>
      <w:tabs>
        <w:tab w:val="left" w:pos="1134"/>
      </w:tabs>
      <w:spacing w:before="120"/>
    </w:pPr>
  </w:style>
  <w:style w:type="paragraph" w:customStyle="1" w:styleId="ListNumber21">
    <w:name w:val="List Number 21"/>
    <w:basedOn w:val="Normal"/>
    <w:pPr>
      <w:numPr>
        <w:numId w:val="5"/>
      </w:numPr>
    </w:p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StandardWeb">
    <w:name w:val="Standard (Web)"/>
    <w:basedOn w:val="Normal"/>
    <w:pPr>
      <w:spacing w:before="100" w:after="100"/>
    </w:pPr>
  </w:style>
  <w:style w:type="paragraph" w:customStyle="1" w:styleId="standard10">
    <w:name w:val="standard10"/>
    <w:basedOn w:val="Normal"/>
    <w:pPr>
      <w:spacing w:line="312" w:lineRule="auto"/>
    </w:pPr>
    <w:rPr>
      <w:sz w:val="24"/>
    </w:rPr>
  </w:style>
  <w:style w:type="paragraph" w:customStyle="1" w:styleId="StyleHeading3">
    <w:name w:val="Style Heading 3"/>
    <w:basedOn w:val="Heading3"/>
    <w:pPr>
      <w:numPr>
        <w:ilvl w:val="0"/>
        <w:numId w:val="0"/>
      </w:numPr>
    </w:pPr>
    <w:rPr>
      <w:i/>
      <w:kern w:val="1"/>
      <w:sz w:val="22"/>
      <w:szCs w:val="24"/>
    </w:rPr>
  </w:style>
  <w:style w:type="paragraph" w:customStyle="1" w:styleId="StyleHeading3Blue">
    <w:name w:val="Style Heading 3 +Blue"/>
    <w:basedOn w:val="Heading3"/>
    <w:pPr>
      <w:numPr>
        <w:ilvl w:val="0"/>
        <w:numId w:val="0"/>
      </w:numPr>
    </w:pPr>
    <w:rPr>
      <w:i/>
      <w:color w:val="0000FF"/>
      <w:kern w:val="1"/>
      <w:sz w:val="22"/>
      <w:szCs w:val="24"/>
    </w:rPr>
  </w:style>
  <w:style w:type="paragraph" w:customStyle="1" w:styleId="StyleHeading3Blue0">
    <w:name w:val="Style Heading 3 Blue"/>
    <w:basedOn w:val="Heading3"/>
    <w:pPr>
      <w:numPr>
        <w:ilvl w:val="0"/>
        <w:numId w:val="0"/>
      </w:numPr>
    </w:pPr>
    <w:rPr>
      <w:i/>
      <w:color w:val="0000FF"/>
      <w:kern w:val="1"/>
      <w:sz w:val="22"/>
      <w:szCs w:val="24"/>
    </w:rPr>
  </w:style>
  <w:style w:type="paragraph" w:customStyle="1" w:styleId="StyleHeading4">
    <w:name w:val="Style Heading 4"/>
    <w:basedOn w:val="Heading4"/>
    <w:pPr>
      <w:numPr>
        <w:ilvl w:val="0"/>
        <w:numId w:val="0"/>
      </w:numPr>
    </w:pPr>
    <w:rPr>
      <w:szCs w:val="22"/>
    </w:rPr>
  </w:style>
  <w:style w:type="paragraph" w:customStyle="1" w:styleId="StyleHeading40">
    <w:name w:val="Style Heading 4 +"/>
    <w:basedOn w:val="Heading4"/>
    <w:pPr>
      <w:numPr>
        <w:ilvl w:val="0"/>
        <w:numId w:val="0"/>
      </w:numPr>
    </w:pPr>
    <w:rPr>
      <w:szCs w:val="22"/>
    </w:rPr>
  </w:style>
  <w:style w:type="paragraph" w:customStyle="1" w:styleId="StyleHeading4Blue">
    <w:name w:val="Style Heading 4 +  Blue"/>
    <w:basedOn w:val="Heading4"/>
    <w:pPr>
      <w:numPr>
        <w:ilvl w:val="0"/>
        <w:numId w:val="0"/>
      </w:numPr>
    </w:pPr>
    <w:rPr>
      <w:color w:val="0000FF"/>
      <w:szCs w:val="22"/>
    </w:rPr>
  </w:style>
  <w:style w:type="paragraph" w:customStyle="1" w:styleId="StyleHeading4BlueStrikethrough">
    <w:name w:val="Style Heading 4 +  Blue Strikethrough"/>
    <w:basedOn w:val="Heading4"/>
    <w:pPr>
      <w:numPr>
        <w:ilvl w:val="0"/>
        <w:numId w:val="0"/>
      </w:numPr>
    </w:pPr>
    <w:rPr>
      <w:bCs/>
      <w:strike/>
      <w:color w:val="0000FF"/>
      <w:szCs w:val="22"/>
    </w:rPr>
  </w:style>
  <w:style w:type="paragraph" w:customStyle="1" w:styleId="StyleHeading4TimesNewRomanBlueStrikethrough">
    <w:name w:val="Style Heading 4 + Times New Roman Blue Strikethrough"/>
    <w:basedOn w:val="Heading4"/>
    <w:pPr>
      <w:numPr>
        <w:ilvl w:val="0"/>
        <w:numId w:val="0"/>
      </w:numPr>
    </w:pPr>
    <w:rPr>
      <w:strike/>
      <w:color w:val="0000FF"/>
      <w:szCs w:val="22"/>
    </w:rPr>
  </w:style>
  <w:style w:type="paragraph" w:customStyle="1" w:styleId="StyleHeading5">
    <w:name w:val="Style Heading 5 +"/>
    <w:basedOn w:val="Heading5"/>
    <w:pPr>
      <w:numPr>
        <w:ilvl w:val="0"/>
        <w:numId w:val="0"/>
      </w:numPr>
    </w:pPr>
    <w:rPr>
      <w:bCs/>
      <w:color w:val="0000FF"/>
    </w:rPr>
  </w:style>
  <w:style w:type="paragraph" w:customStyle="1" w:styleId="StyleHeading511pt">
    <w:name w:val="Style Heading 5 +  11 pt"/>
    <w:basedOn w:val="Heading5"/>
    <w:pPr>
      <w:numPr>
        <w:ilvl w:val="0"/>
        <w:numId w:val="0"/>
      </w:numPr>
    </w:pPr>
    <w:rPr>
      <w:bCs/>
      <w:szCs w:val="22"/>
    </w:rPr>
  </w:style>
  <w:style w:type="paragraph" w:customStyle="1" w:styleId="StyleHeading5Blue">
    <w:name w:val="Style Heading 5 +  Blue"/>
    <w:basedOn w:val="Heading5"/>
    <w:pPr>
      <w:numPr>
        <w:ilvl w:val="0"/>
        <w:numId w:val="0"/>
      </w:numPr>
    </w:pPr>
    <w:rPr>
      <w:bCs/>
      <w:color w:val="0000FF"/>
    </w:rPr>
  </w:style>
  <w:style w:type="paragraph" w:customStyle="1" w:styleId="StyleHeading5Before0ptAfter6pt">
    <w:name w:val="Style Heading 5 + Before:  0 pt After:  6 pt"/>
    <w:basedOn w:val="Heading5"/>
    <w:pPr>
      <w:numPr>
        <w:ilvl w:val="0"/>
        <w:numId w:val="16"/>
      </w:numPr>
      <w:spacing w:after="120"/>
    </w:pPr>
  </w:style>
  <w:style w:type="paragraph" w:customStyle="1" w:styleId="StyleHeading5Left0Firstline0">
    <w:name w:val="Style Heading 5 + Left:  0&quot; First line:  0&quot;"/>
    <w:basedOn w:val="Heading5"/>
    <w:pPr>
      <w:numPr>
        <w:ilvl w:val="0"/>
        <w:numId w:val="12"/>
      </w:numPr>
      <w:tabs>
        <w:tab w:val="clear" w:pos="1701"/>
      </w:tabs>
      <w:spacing w:before="100" w:after="100"/>
    </w:pPr>
  </w:style>
  <w:style w:type="paragraph" w:customStyle="1" w:styleId="TableL01">
    <w:name w:val="Table L0.1"/>
    <w:basedOn w:val="Normal"/>
    <w:pPr>
      <w:keepLines/>
      <w:spacing w:before="20" w:after="20"/>
      <w:ind w:left="57" w:right="57"/>
    </w:pPr>
  </w:style>
  <w:style w:type="paragraph" w:customStyle="1" w:styleId="TableofAuthorities1">
    <w:name w:val="Table of Authorities1"/>
    <w:basedOn w:val="Normal"/>
    <w:next w:val="Normal"/>
    <w:pPr>
      <w:ind w:left="220" w:hanging="220"/>
    </w:pPr>
  </w:style>
  <w:style w:type="paragraph" w:customStyle="1" w:styleId="TOAHeading1">
    <w:name w:val="TOA Heading1"/>
    <w:basedOn w:val="Normal"/>
    <w:next w:val="Normal"/>
    <w:pPr>
      <w:spacing w:before="120"/>
    </w:pPr>
    <w:rPr>
      <w:rFonts w:ascii="Arial" w:hAnsi="Arial" w:cs="Arial"/>
      <w:b/>
      <w:sz w:val="24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32A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uiPriority w:val="99"/>
    <w:semiHidden/>
    <w:unhideWhenUsed/>
    <w:rsid w:val="0043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32A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132A"/>
    <w:rPr>
      <w:b/>
      <w:bCs/>
      <w:lang w:val="en-GB" w:eastAsia="ar-SA"/>
    </w:rPr>
  </w:style>
  <w:style w:type="paragraph" w:styleId="DocumentMap">
    <w:name w:val="Document Map"/>
    <w:basedOn w:val="Normal"/>
    <w:semiHidden/>
    <w:rsid w:val="0017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994548"/>
    <w:rPr>
      <w:sz w:val="2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D7DDE"/>
    <w:pPr>
      <w:ind w:left="720"/>
      <w:contextualSpacing/>
    </w:pPr>
  </w:style>
  <w:style w:type="table" w:styleId="TableGrid">
    <w:name w:val="Table Grid"/>
    <w:basedOn w:val="TableNormal"/>
    <w:uiPriority w:val="39"/>
    <w:rsid w:val="007D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ircabc.europa.eu/w/browse/84b358a5-eda0-4812-8247-3a7eb02af577" TargetMode="External"/><Relationship Id="rId1" Type="http://schemas.openxmlformats.org/officeDocument/2006/relationships/hyperlink" Target="https://circabc.europa.eu/w/browse/81589c9f-2e62-4a40-843f-acbaf451c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5CF8BB7530B6E4A81D0A3B330689D36" ma:contentTypeVersion="4" ma:contentTypeDescription="Create a new document in this library." ma:contentTypeScope="" ma:versionID="d44f3d0848ce504e3c5f173e470cd48f">
  <xsd:schema xmlns:xsd="http://www.w3.org/2001/XMLSchema" xmlns:xs="http://www.w3.org/2001/XMLSchema" xmlns:p="http://schemas.microsoft.com/office/2006/metadata/properties" xmlns:ns3="5c838e5d-c774-444c-9940-4530a3c7b6ef" xmlns:ns4="c25d2180-b7b2-4d5b-ad1b-6a84fb485225" targetNamespace="http://schemas.microsoft.com/office/2006/metadata/properties" ma:root="true" ma:fieldsID="2ea7042daae14f4b269bec9efe483cbe" ns3:_="" ns4:_="">
    <xsd:import namespace="5c838e5d-c774-444c-9940-4530a3c7b6ef"/>
    <xsd:import namespace="c25d2180-b7b2-4d5b-ad1b-6a84fb48522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e5d-c774-444c-9940-4530a3c7b6ef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2180-b7b2-4d5b-ad1b-6a84fb48522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5c838e5d-c774-444c-9940-4530a3c7b6ef" xsi:nil="true"/>
    <EC_Collab_Status xmlns="5c838e5d-c774-444c-9940-4530a3c7b6ef">Draft</EC_Collab_Status>
    <EC_Collab_DocumentLanguage xmlns="5c838e5d-c774-444c-9940-4530a3c7b6ef">EN</EC_Collab_Document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7043-B403-423A-BAA4-BDFF6F69F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e5d-c774-444c-9940-4530a3c7b6ef"/>
    <ds:schemaRef ds:uri="c25d2180-b7b2-4d5b-ad1b-6a84fb485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D1452-2F51-4B5A-9652-29B7B2BB6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5C0D74-F9BE-4E85-B2AE-1D9C6AABD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71A5F-24FB-4E5C-8905-0AF6B5EF4882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25d2180-b7b2-4d5b-ad1b-6a84fb485225"/>
    <ds:schemaRef ds:uri="5c838e5d-c774-444c-9940-4530a3c7b6ef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B4B5E4-9CEA-4FD0-BDBD-B6AA3713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10167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Commission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 Thomas (JRC-SEVILLA)</dc:creator>
  <cp:lastModifiedBy>Detragiache, Maria Chiara</cp:lastModifiedBy>
  <cp:revision>2</cp:revision>
  <cp:lastPrinted>2016-01-27T17:00:00Z</cp:lastPrinted>
  <dcterms:created xsi:type="dcterms:W3CDTF">2016-02-05T16:15:00Z</dcterms:created>
  <dcterms:modified xsi:type="dcterms:W3CDTF">2016-02-05T16:15:00Z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0x010100258AA79CEB83498886A3A086811232500005CF8BB7530B6E4A81D0A3B330689D36</vt:lpwstr>
  </property>
</Properties>
</file>